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237F" w14:textId="77777777" w:rsidR="00095257" w:rsidRPr="00095257" w:rsidRDefault="00095257" w:rsidP="00095257">
      <w:pPr>
        <w:pStyle w:val="Titel"/>
        <w:rPr>
          <w:rFonts w:cstheme="majorHAnsi"/>
          <w:lang w:val="en-GB"/>
        </w:rPr>
      </w:pPr>
    </w:p>
    <w:p w14:paraId="030C5AF1" w14:textId="77777777" w:rsidR="00095257" w:rsidRDefault="00095257" w:rsidP="00095257">
      <w:pPr>
        <w:jc w:val="center"/>
        <w:rPr>
          <w:rFonts w:ascii="Arial" w:hAnsi="Arial" w:cs="Arial"/>
          <w:sz w:val="24"/>
          <w:szCs w:val="24"/>
        </w:rPr>
      </w:pPr>
    </w:p>
    <w:p w14:paraId="60EC5822" w14:textId="77777777" w:rsidR="00095257" w:rsidRDefault="00095257" w:rsidP="00095257">
      <w:pPr>
        <w:jc w:val="center"/>
        <w:rPr>
          <w:rFonts w:ascii="Arial" w:hAnsi="Arial" w:cs="Arial"/>
          <w:sz w:val="24"/>
          <w:szCs w:val="24"/>
        </w:rPr>
      </w:pPr>
    </w:p>
    <w:p w14:paraId="0D48F245" w14:textId="0C096ECD" w:rsidR="00095257" w:rsidRDefault="00095257" w:rsidP="00095257">
      <w:pPr>
        <w:jc w:val="center"/>
        <w:rPr>
          <w:rFonts w:ascii="Arial" w:hAnsi="Arial" w:cs="Arial"/>
          <w:sz w:val="24"/>
          <w:szCs w:val="24"/>
        </w:rPr>
      </w:pPr>
      <w:r w:rsidRPr="00A247B1">
        <w:rPr>
          <w:rFonts w:ascii="Arial" w:hAnsi="Arial" w:cs="Arial"/>
          <w:sz w:val="24"/>
          <w:szCs w:val="24"/>
        </w:rPr>
        <w:t>Project No.: 101193598— AGRI-MOCKS — ERASMUS-EDU-2024-VIRT-EXCH</w:t>
      </w:r>
    </w:p>
    <w:p w14:paraId="0AC86784" w14:textId="77777777" w:rsidR="00095257" w:rsidRPr="00A247B1" w:rsidRDefault="00095257" w:rsidP="00095257">
      <w:pPr>
        <w:jc w:val="center"/>
        <w:rPr>
          <w:rFonts w:ascii="Arial" w:hAnsi="Arial" w:cs="Arial"/>
          <w:sz w:val="24"/>
          <w:szCs w:val="24"/>
          <w:lang w:val="en-GB"/>
        </w:rPr>
      </w:pPr>
    </w:p>
    <w:p w14:paraId="6BF0BB29" w14:textId="77777777" w:rsidR="00095257" w:rsidRPr="00095257" w:rsidRDefault="00095257" w:rsidP="00095257">
      <w:pPr>
        <w:rPr>
          <w:lang w:val="en-GB"/>
        </w:rPr>
      </w:pPr>
    </w:p>
    <w:p w14:paraId="6CDA0E94" w14:textId="4537D80B" w:rsidR="004679EF" w:rsidRDefault="00B84CE8" w:rsidP="00B92E39">
      <w:pPr>
        <w:pStyle w:val="Titel"/>
        <w:jc w:val="both"/>
        <w:rPr>
          <w:rFonts w:cstheme="majorHAnsi"/>
          <w:lang w:val="en-GB"/>
        </w:rPr>
      </w:pPr>
      <w:r w:rsidRPr="00B92E39">
        <w:rPr>
          <w:rFonts w:cstheme="majorHAnsi"/>
          <w:lang w:val="en-GB"/>
        </w:rPr>
        <w:t>AGRI-MOCKS Dissemination Plan</w:t>
      </w:r>
    </w:p>
    <w:p w14:paraId="3995F550" w14:textId="77777777" w:rsidR="00095257" w:rsidRDefault="00095257" w:rsidP="00095257">
      <w:pPr>
        <w:rPr>
          <w:lang w:val="en-GB"/>
        </w:rPr>
      </w:pPr>
    </w:p>
    <w:p w14:paraId="48F0CA0A" w14:textId="77777777" w:rsidR="00095257" w:rsidRDefault="00095257" w:rsidP="00095257">
      <w:pPr>
        <w:rPr>
          <w:lang w:val="en-GB"/>
        </w:rPr>
      </w:pPr>
    </w:p>
    <w:p w14:paraId="5883C284" w14:textId="77777777" w:rsidR="00095257" w:rsidRPr="00A247B1" w:rsidRDefault="00095257" w:rsidP="00095257">
      <w:pPr>
        <w:jc w:val="center"/>
        <w:rPr>
          <w:rFonts w:ascii="Arial" w:hAnsi="Arial" w:cs="Arial"/>
          <w:sz w:val="24"/>
          <w:szCs w:val="24"/>
          <w:lang w:val="en-GB"/>
        </w:rPr>
      </w:pPr>
      <w:r w:rsidRPr="00A247B1">
        <w:rPr>
          <w:rFonts w:ascii="Arial" w:hAnsi="Arial" w:cs="Arial"/>
          <w:sz w:val="24"/>
          <w:szCs w:val="24"/>
          <w:lang w:val="en-GB"/>
        </w:rPr>
        <w:t>May 2025</w:t>
      </w:r>
    </w:p>
    <w:p w14:paraId="51CA1679" w14:textId="77777777" w:rsidR="00095257" w:rsidRDefault="00095257" w:rsidP="00095257">
      <w:pPr>
        <w:pStyle w:val="berschrift1"/>
        <w:jc w:val="both"/>
        <w:rPr>
          <w:rFonts w:cstheme="majorHAnsi"/>
        </w:rPr>
      </w:pPr>
    </w:p>
    <w:p w14:paraId="50CCF599" w14:textId="77777777" w:rsidR="00095257" w:rsidRPr="00095257" w:rsidRDefault="00095257" w:rsidP="00095257"/>
    <w:p w14:paraId="61F6E006" w14:textId="77777777" w:rsidR="00095257" w:rsidRPr="00095257" w:rsidRDefault="00095257" w:rsidP="00095257"/>
    <w:p w14:paraId="56FD202B" w14:textId="77777777" w:rsidR="00095257" w:rsidRPr="00095257" w:rsidRDefault="00095257" w:rsidP="00095257"/>
    <w:p w14:paraId="47C7F13B" w14:textId="77777777" w:rsidR="00095257" w:rsidRPr="00095257" w:rsidRDefault="00095257" w:rsidP="00095257"/>
    <w:p w14:paraId="5C7E3594" w14:textId="77777777" w:rsidR="00095257" w:rsidRPr="00095257" w:rsidRDefault="00095257" w:rsidP="00095257"/>
    <w:p w14:paraId="70DA641A" w14:textId="4F7E50E9" w:rsidR="00095257" w:rsidRPr="00095257" w:rsidRDefault="00095257" w:rsidP="00095257">
      <w:pPr>
        <w:rPr>
          <w:rFonts w:ascii="Arial" w:hAnsi="Arial" w:cs="Arial"/>
          <w:sz w:val="24"/>
          <w:szCs w:val="24"/>
        </w:rPr>
      </w:pPr>
      <w:r w:rsidRPr="00095257">
        <w:rPr>
          <w:rFonts w:ascii="Arial" w:hAnsi="Arial" w:cs="Arial"/>
          <w:sz w:val="24"/>
          <w:szCs w:val="24"/>
        </w:rPr>
        <w:t>Author</w:t>
      </w:r>
      <w:r w:rsidR="007B42BB">
        <w:rPr>
          <w:rFonts w:ascii="Arial" w:hAnsi="Arial" w:cs="Arial"/>
          <w:sz w:val="24"/>
          <w:szCs w:val="24"/>
        </w:rPr>
        <w:t>s</w:t>
      </w:r>
      <w:r w:rsidRPr="00095257">
        <w:rPr>
          <w:rFonts w:ascii="Arial" w:hAnsi="Arial" w:cs="Arial"/>
          <w:sz w:val="24"/>
          <w:szCs w:val="24"/>
        </w:rPr>
        <w:t xml:space="preserve">: </w:t>
      </w:r>
      <w:proofErr w:type="spellStart"/>
      <w:r w:rsidRPr="00095257">
        <w:rPr>
          <w:rFonts w:ascii="Arial" w:hAnsi="Arial" w:cs="Arial"/>
          <w:sz w:val="24"/>
          <w:szCs w:val="24"/>
        </w:rPr>
        <w:t>Corli</w:t>
      </w:r>
      <w:proofErr w:type="spellEnd"/>
      <w:r w:rsidRPr="00095257">
        <w:rPr>
          <w:rFonts w:ascii="Arial" w:hAnsi="Arial" w:cs="Arial"/>
          <w:sz w:val="24"/>
          <w:szCs w:val="24"/>
        </w:rPr>
        <w:t xml:space="preserve"> </w:t>
      </w:r>
      <w:proofErr w:type="spellStart"/>
      <w:r w:rsidRPr="00095257">
        <w:rPr>
          <w:rFonts w:ascii="Arial" w:hAnsi="Arial" w:cs="Arial"/>
          <w:sz w:val="24"/>
          <w:szCs w:val="24"/>
        </w:rPr>
        <w:t>Witthun</w:t>
      </w:r>
      <w:proofErr w:type="spellEnd"/>
      <w:r w:rsidRPr="00095257">
        <w:rPr>
          <w:rFonts w:ascii="Arial" w:hAnsi="Arial" w:cs="Arial"/>
          <w:sz w:val="24"/>
          <w:szCs w:val="24"/>
        </w:rPr>
        <w:t xml:space="preserve"> &amp; Lynette Jacobs</w:t>
      </w:r>
      <w:r>
        <w:rPr>
          <w:rFonts w:ascii="Arial" w:hAnsi="Arial" w:cs="Arial"/>
          <w:sz w:val="24"/>
          <w:szCs w:val="24"/>
        </w:rPr>
        <w:t xml:space="preserve"> - UFS</w:t>
      </w:r>
    </w:p>
    <w:p w14:paraId="05D438DC" w14:textId="77777777" w:rsidR="00095257" w:rsidRDefault="00095257" w:rsidP="00095257">
      <w:pPr>
        <w:rPr>
          <w:lang w:val="en-GB"/>
        </w:rPr>
      </w:pPr>
    </w:p>
    <w:p w14:paraId="09CB4B42" w14:textId="77777777" w:rsidR="00095257" w:rsidRDefault="00095257" w:rsidP="00095257">
      <w:pPr>
        <w:rPr>
          <w:lang w:val="en-GB"/>
        </w:rPr>
      </w:pPr>
    </w:p>
    <w:p w14:paraId="0A971C59" w14:textId="77777777" w:rsidR="00095257" w:rsidRDefault="00095257" w:rsidP="00095257">
      <w:pPr>
        <w:rPr>
          <w:lang w:val="en-GB"/>
        </w:rPr>
      </w:pPr>
    </w:p>
    <w:p w14:paraId="162E0D87" w14:textId="77777777" w:rsidR="00095257" w:rsidRPr="00095257" w:rsidRDefault="00095257" w:rsidP="00095257">
      <w:pPr>
        <w:rPr>
          <w:lang w:val="en-GB"/>
        </w:rPr>
      </w:pPr>
    </w:p>
    <w:p w14:paraId="046E2F24" w14:textId="77777777" w:rsidR="004679EF" w:rsidRPr="00B92E39" w:rsidRDefault="00B84CE8" w:rsidP="00B92E39">
      <w:pPr>
        <w:pStyle w:val="berschrift1"/>
        <w:jc w:val="both"/>
        <w:rPr>
          <w:rFonts w:cstheme="majorHAnsi"/>
          <w:lang w:val="en-GB"/>
        </w:rPr>
      </w:pPr>
      <w:r w:rsidRPr="00B92E39">
        <w:rPr>
          <w:rFonts w:cstheme="majorHAnsi"/>
          <w:lang w:val="en-GB"/>
        </w:rPr>
        <w:lastRenderedPageBreak/>
        <w:t>1. Introduction</w:t>
      </w:r>
    </w:p>
    <w:p w14:paraId="121336CC" w14:textId="77777777" w:rsidR="004679EF" w:rsidRPr="00B92E39" w:rsidRDefault="00B84CE8" w:rsidP="00B92E39">
      <w:pPr>
        <w:jc w:val="both"/>
        <w:rPr>
          <w:rFonts w:asciiTheme="majorHAnsi" w:hAnsiTheme="majorHAnsi" w:cstheme="majorHAnsi"/>
          <w:lang w:val="en-GB"/>
        </w:rPr>
      </w:pPr>
      <w:r w:rsidRPr="00B92E39">
        <w:rPr>
          <w:rFonts w:asciiTheme="majorHAnsi" w:hAnsiTheme="majorHAnsi" w:cstheme="majorHAnsi"/>
          <w:lang w:val="en-GB"/>
        </w:rPr>
        <w:t>The AGRI-MOCKS project aims to enhance employability in agriculture and rural development by creating innovative eLearning materials, virtual internships, and fostering co-working among youth, students, and educators across Africa and Europe. This dissemination plan outlines activities to ensure project results reach stakeholders effectively, maximizing impact and ensuring sustainability.</w:t>
      </w:r>
    </w:p>
    <w:p w14:paraId="0629E4DD" w14:textId="77777777" w:rsidR="004679EF" w:rsidRPr="00B92E39" w:rsidRDefault="00B84CE8" w:rsidP="00B92E39">
      <w:pPr>
        <w:pStyle w:val="berschrift1"/>
        <w:jc w:val="both"/>
        <w:rPr>
          <w:rFonts w:cstheme="majorHAnsi"/>
          <w:lang w:val="en-GB"/>
        </w:rPr>
      </w:pPr>
      <w:r w:rsidRPr="00B92E39">
        <w:rPr>
          <w:rFonts w:cstheme="majorHAnsi"/>
          <w:lang w:val="en-GB"/>
        </w:rPr>
        <w:t>2. Dissemination Objectives</w:t>
      </w:r>
    </w:p>
    <w:p w14:paraId="103DA0F8" w14:textId="044DFE9A"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Raise awareness of the AGRI-MOCKS project and its goals among key stakeholders.</w:t>
      </w:r>
    </w:p>
    <w:p w14:paraId="275503CA" w14:textId="0B2DB1D6"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Promote effective utilization and application of developed eLearning resources and methodologies.</w:t>
      </w:r>
    </w:p>
    <w:p w14:paraId="037F30FB" w14:textId="01A885D3"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Encourage institutional adoption of AGRI-MOCKS outputs and results.</w:t>
      </w:r>
    </w:p>
    <w:p w14:paraId="4186C36F" w14:textId="28B10AF1"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Foster a sustainable alumni network and stakeholder community.</w:t>
      </w:r>
    </w:p>
    <w:p w14:paraId="6A044047" w14:textId="77777777" w:rsidR="004679EF" w:rsidRPr="00B92E39" w:rsidRDefault="00B84CE8" w:rsidP="00B92E39">
      <w:pPr>
        <w:pStyle w:val="berschrift1"/>
        <w:jc w:val="both"/>
        <w:rPr>
          <w:rFonts w:cstheme="majorHAnsi"/>
          <w:lang w:val="en-GB"/>
        </w:rPr>
      </w:pPr>
      <w:r w:rsidRPr="00B92E39">
        <w:rPr>
          <w:rFonts w:cstheme="majorHAnsi"/>
          <w:lang w:val="en-GB"/>
        </w:rPr>
        <w:t>3. Key Messages</w:t>
      </w:r>
    </w:p>
    <w:p w14:paraId="4022E485" w14:textId="7F63519E"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AGRI-MOCKS enhances employability through innovative digital tools and methodologies.</w:t>
      </w:r>
    </w:p>
    <w:p w14:paraId="15A59E68" w14:textId="39055457"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Collaborative learning environments foster intercultural dialogue and entrepreneurial skills.</w:t>
      </w:r>
    </w:p>
    <w:p w14:paraId="0DBAB854" w14:textId="4B119547" w:rsidR="004679EF"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Institutional adoption ensures lasting benefits for higher education and rural development.</w:t>
      </w:r>
    </w:p>
    <w:p w14:paraId="7C5EF33D" w14:textId="02DF7AB8" w:rsidR="00C60CA9" w:rsidRPr="00C60CA9" w:rsidRDefault="00C60CA9" w:rsidP="00C60CA9">
      <w:pPr>
        <w:pStyle w:val="Listenabsatz"/>
        <w:numPr>
          <w:ilvl w:val="0"/>
          <w:numId w:val="11"/>
        </w:numPr>
        <w:jc w:val="both"/>
        <w:rPr>
          <w:rFonts w:asciiTheme="majorHAnsi" w:hAnsiTheme="majorHAnsi" w:cstheme="majorHAnsi"/>
          <w:lang w:val="en-GB"/>
        </w:rPr>
      </w:pPr>
      <w:r w:rsidRPr="00C60CA9">
        <w:rPr>
          <w:rFonts w:asciiTheme="majorHAnsi" w:hAnsiTheme="majorHAnsi" w:cstheme="majorHAnsi"/>
          <w:lang w:val="en-GB"/>
        </w:rPr>
        <w:t>Civic participation and community engagement for enhanced opportunity for youths.</w:t>
      </w:r>
    </w:p>
    <w:p w14:paraId="18C5EE98" w14:textId="0433D5A5" w:rsidR="00C60CA9" w:rsidRPr="00C60CA9" w:rsidRDefault="00C60CA9" w:rsidP="00C60CA9">
      <w:pPr>
        <w:pStyle w:val="Listenabsatz"/>
        <w:numPr>
          <w:ilvl w:val="0"/>
          <w:numId w:val="11"/>
        </w:numPr>
        <w:jc w:val="both"/>
        <w:rPr>
          <w:rFonts w:asciiTheme="majorHAnsi" w:hAnsiTheme="majorHAnsi" w:cstheme="majorHAnsi"/>
          <w:lang w:val="en-GB"/>
        </w:rPr>
      </w:pPr>
      <w:r w:rsidRPr="00C60CA9">
        <w:rPr>
          <w:rFonts w:asciiTheme="majorHAnsi" w:hAnsiTheme="majorHAnsi" w:cstheme="majorHAnsi"/>
          <w:lang w:val="en-GB"/>
        </w:rPr>
        <w:t>Enhance the entrepreneurial mind-sets of youths through virtual exchange program</w:t>
      </w:r>
      <w:r>
        <w:rPr>
          <w:rFonts w:asciiTheme="majorHAnsi" w:hAnsiTheme="majorHAnsi" w:cstheme="majorHAnsi"/>
          <w:lang w:val="en-GB"/>
        </w:rPr>
        <w:t>s</w:t>
      </w:r>
      <w:r w:rsidRPr="00C60CA9">
        <w:rPr>
          <w:rFonts w:asciiTheme="majorHAnsi" w:hAnsiTheme="majorHAnsi" w:cstheme="majorHAnsi"/>
          <w:lang w:val="en-GB"/>
        </w:rPr>
        <w:t>.</w:t>
      </w:r>
    </w:p>
    <w:p w14:paraId="4F3E1900" w14:textId="77777777" w:rsidR="004679EF" w:rsidRPr="00B92E39" w:rsidRDefault="00B84CE8" w:rsidP="00B92E39">
      <w:pPr>
        <w:pStyle w:val="berschrift1"/>
        <w:jc w:val="both"/>
        <w:rPr>
          <w:rFonts w:cstheme="majorHAnsi"/>
          <w:lang w:val="en-GB"/>
        </w:rPr>
      </w:pPr>
      <w:r w:rsidRPr="00B92E39">
        <w:rPr>
          <w:rFonts w:cstheme="majorHAnsi"/>
          <w:lang w:val="en-GB"/>
        </w:rPr>
        <w:t>4. Target Groups</w:t>
      </w:r>
    </w:p>
    <w:p w14:paraId="1C51EE78" w14:textId="751B5F3D"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Higher Education Institutions (HEIs)</w:t>
      </w:r>
      <w:r w:rsidR="00C60CA9">
        <w:rPr>
          <w:rFonts w:asciiTheme="majorHAnsi" w:hAnsiTheme="majorHAnsi" w:cstheme="majorHAnsi"/>
          <w:lang w:val="en-GB"/>
        </w:rPr>
        <w:t>, Technical and Vocational Training (TVETs),</w:t>
      </w:r>
      <w:r w:rsidRPr="002F7D75">
        <w:rPr>
          <w:rFonts w:asciiTheme="majorHAnsi" w:hAnsiTheme="majorHAnsi" w:cstheme="majorHAnsi"/>
          <w:lang w:val="en-GB"/>
        </w:rPr>
        <w:t xml:space="preserve"> and youth organizations in Africa and Europe.</w:t>
      </w:r>
    </w:p>
    <w:p w14:paraId="0E36206D" w14:textId="63C81BDE"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Students and alumni from partner institutions.</w:t>
      </w:r>
    </w:p>
    <w:p w14:paraId="4D86BD3B" w14:textId="1BC1E251"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Educational policymakers and sector stakeholders.</w:t>
      </w:r>
    </w:p>
    <w:p w14:paraId="45164CC9" w14:textId="53A11047"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 xml:space="preserve">Farmers, entrepreneurs, </w:t>
      </w:r>
      <w:r w:rsidR="00C60CA9">
        <w:rPr>
          <w:rFonts w:asciiTheme="majorHAnsi" w:hAnsiTheme="majorHAnsi" w:cstheme="majorHAnsi"/>
          <w:lang w:val="en-GB"/>
        </w:rPr>
        <w:t xml:space="preserve">women, people with disabilities, </w:t>
      </w:r>
      <w:r w:rsidRPr="002F7D75">
        <w:rPr>
          <w:rFonts w:asciiTheme="majorHAnsi" w:hAnsiTheme="majorHAnsi" w:cstheme="majorHAnsi"/>
          <w:lang w:val="en-GB"/>
        </w:rPr>
        <w:t>and rural communities.</w:t>
      </w:r>
    </w:p>
    <w:p w14:paraId="038C9862" w14:textId="00F58149" w:rsidR="004679EF" w:rsidRPr="00B92E39" w:rsidRDefault="00B84CE8" w:rsidP="00B92E39">
      <w:pPr>
        <w:pStyle w:val="berschrift1"/>
        <w:jc w:val="both"/>
        <w:rPr>
          <w:rFonts w:cstheme="majorHAnsi"/>
          <w:lang w:val="en-GB"/>
        </w:rPr>
      </w:pPr>
      <w:r w:rsidRPr="00B92E39">
        <w:rPr>
          <w:rFonts w:cstheme="majorHAnsi"/>
          <w:lang w:val="en-GB"/>
        </w:rPr>
        <w:t xml:space="preserve">5. </w:t>
      </w:r>
      <w:r w:rsidR="00AA59E8">
        <w:rPr>
          <w:rFonts w:cstheme="majorHAnsi"/>
          <w:lang w:val="en-GB"/>
        </w:rPr>
        <w:t xml:space="preserve">Communication, </w:t>
      </w:r>
      <w:r w:rsidRPr="00B92E39">
        <w:rPr>
          <w:rFonts w:cstheme="majorHAnsi"/>
          <w:lang w:val="en-GB"/>
        </w:rPr>
        <w:t>Dissemination</w:t>
      </w:r>
      <w:r w:rsidR="00AA59E8">
        <w:rPr>
          <w:rFonts w:cstheme="majorHAnsi"/>
          <w:lang w:val="en-GB"/>
        </w:rPr>
        <w:t>, and Exploitation</w:t>
      </w:r>
      <w:r w:rsidRPr="00B92E39">
        <w:rPr>
          <w:rFonts w:cstheme="majorHAnsi"/>
          <w:lang w:val="en-GB"/>
        </w:rPr>
        <w:t xml:space="preserve"> Activities and Tools</w:t>
      </w:r>
    </w:p>
    <w:p w14:paraId="43BEA784" w14:textId="6FB80D66" w:rsidR="004679EF" w:rsidRPr="00B92E39" w:rsidRDefault="00B84CE8" w:rsidP="002F7D75">
      <w:pPr>
        <w:pStyle w:val="berschrift2"/>
        <w:rPr>
          <w:lang w:val="en-GB"/>
        </w:rPr>
      </w:pPr>
      <w:r w:rsidRPr="00B92E39">
        <w:rPr>
          <w:lang w:val="en-GB"/>
        </w:rPr>
        <w:t>5.1 Alumni e-Network (D4.1)</w:t>
      </w:r>
      <w:r w:rsidR="00AA59E8">
        <w:rPr>
          <w:lang w:val="en-GB"/>
        </w:rPr>
        <w:t xml:space="preserve"> - Communication</w:t>
      </w:r>
    </w:p>
    <w:p w14:paraId="042D4A79" w14:textId="367E3D75" w:rsidR="004679EF" w:rsidRPr="004F2344" w:rsidRDefault="00B84CE8" w:rsidP="004F2344">
      <w:pPr>
        <w:pStyle w:val="Listenabsatz"/>
        <w:numPr>
          <w:ilvl w:val="0"/>
          <w:numId w:val="11"/>
        </w:numPr>
        <w:jc w:val="both"/>
        <w:rPr>
          <w:rFonts w:asciiTheme="majorHAnsi" w:hAnsiTheme="majorHAnsi" w:cstheme="majorHAnsi"/>
          <w:lang w:val="en-GB"/>
        </w:rPr>
      </w:pPr>
      <w:r w:rsidRPr="004F2344">
        <w:rPr>
          <w:rFonts w:asciiTheme="majorHAnsi" w:hAnsiTheme="majorHAnsi" w:cstheme="majorHAnsi"/>
          <w:lang w:val="en-GB"/>
        </w:rPr>
        <w:t>Develop an online alumni platform to connect past, current, and prospective students.</w:t>
      </w:r>
    </w:p>
    <w:p w14:paraId="588EBD6D" w14:textId="26C44C41" w:rsidR="004679EF" w:rsidRPr="004F2344" w:rsidRDefault="00B84CE8" w:rsidP="004F2344">
      <w:pPr>
        <w:pStyle w:val="Listenabsatz"/>
        <w:numPr>
          <w:ilvl w:val="0"/>
          <w:numId w:val="11"/>
        </w:numPr>
        <w:jc w:val="both"/>
        <w:rPr>
          <w:rFonts w:asciiTheme="majorHAnsi" w:hAnsiTheme="majorHAnsi" w:cstheme="majorHAnsi"/>
          <w:lang w:val="en-GB"/>
        </w:rPr>
      </w:pPr>
      <w:r w:rsidRPr="004F2344">
        <w:rPr>
          <w:rFonts w:asciiTheme="majorHAnsi" w:hAnsiTheme="majorHAnsi" w:cstheme="majorHAnsi"/>
          <w:lang w:val="en-GB"/>
        </w:rPr>
        <w:t>Regular virtual events, workshops, and mentorship sessions to maintain active engagement.</w:t>
      </w:r>
    </w:p>
    <w:p w14:paraId="38219D48" w14:textId="59547A3A" w:rsidR="004679EF" w:rsidRPr="00B92E39" w:rsidRDefault="00B84CE8" w:rsidP="002F7D75">
      <w:pPr>
        <w:pStyle w:val="berschrift2"/>
        <w:rPr>
          <w:lang w:val="en-GB"/>
        </w:rPr>
      </w:pPr>
      <w:r w:rsidRPr="00B92E39">
        <w:rPr>
          <w:lang w:val="en-GB"/>
        </w:rPr>
        <w:t>5.2 Video Testimonials (D4.2)</w:t>
      </w:r>
      <w:r w:rsidR="00AA59E8">
        <w:rPr>
          <w:lang w:val="en-GB"/>
        </w:rPr>
        <w:t xml:space="preserve"> - Dissemination</w:t>
      </w:r>
    </w:p>
    <w:p w14:paraId="7C9B9910" w14:textId="021132B0"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Production and sharing of testimonial videos highlighting project impact on employability.</w:t>
      </w:r>
    </w:p>
    <w:p w14:paraId="784BE6B5" w14:textId="47B2D7F2"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Distribution via social media channels, YouTube, institutional websites, and events.</w:t>
      </w:r>
    </w:p>
    <w:p w14:paraId="01407EB9" w14:textId="25B03185" w:rsidR="004679EF" w:rsidRPr="00B92E39" w:rsidRDefault="00B84CE8" w:rsidP="002F7D75">
      <w:pPr>
        <w:pStyle w:val="berschrift2"/>
        <w:rPr>
          <w:lang w:val="en-GB"/>
        </w:rPr>
      </w:pPr>
      <w:r w:rsidRPr="00B92E39">
        <w:rPr>
          <w:lang w:val="en-GB"/>
        </w:rPr>
        <w:lastRenderedPageBreak/>
        <w:t>5.3 Green Paper (D4.3)</w:t>
      </w:r>
      <w:r w:rsidR="00AA59E8">
        <w:rPr>
          <w:lang w:val="en-GB"/>
        </w:rPr>
        <w:t xml:space="preserve"> - Exploitation</w:t>
      </w:r>
    </w:p>
    <w:p w14:paraId="224A3B9A" w14:textId="10DC535D"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Publish and widely disseminate a comprehensive document on educational and sector policy improvements.</w:t>
      </w:r>
    </w:p>
    <w:p w14:paraId="14DD45DC" w14:textId="04D704D5"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Organize targeted webinars and presentations to policymakers and sector stakeholders.</w:t>
      </w:r>
    </w:p>
    <w:p w14:paraId="07CDCFC5" w14:textId="3F31E7D2"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Distribution at international educational and agricultural conferences.</w:t>
      </w:r>
    </w:p>
    <w:p w14:paraId="42A8B3B2" w14:textId="3BB9B1DC" w:rsidR="004679EF" w:rsidRPr="00B92E39" w:rsidRDefault="00B84CE8" w:rsidP="002F7D75">
      <w:pPr>
        <w:pStyle w:val="berschrift2"/>
        <w:rPr>
          <w:lang w:val="en-GB"/>
        </w:rPr>
      </w:pPr>
      <w:r w:rsidRPr="00B92E39">
        <w:rPr>
          <w:lang w:val="en-GB"/>
        </w:rPr>
        <w:t>5.4 Newsletters (D4.4)</w:t>
      </w:r>
      <w:r w:rsidR="00AA59E8">
        <w:rPr>
          <w:lang w:val="en-GB"/>
        </w:rPr>
        <w:t xml:space="preserve"> - Communication</w:t>
      </w:r>
    </w:p>
    <w:p w14:paraId="5D02960B" w14:textId="0BFF9206"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Produce three merged newsletters (annually) highlighting project progress, success stories, and upcoming events.</w:t>
      </w:r>
    </w:p>
    <w:p w14:paraId="0DCDF98A" w14:textId="4626A879" w:rsidR="00AA59E8" w:rsidRPr="00AA59E8" w:rsidRDefault="00B84CE8" w:rsidP="00B92E39">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Disseminate newsletters via email, project website, partner institutions, and social media.</w:t>
      </w:r>
    </w:p>
    <w:p w14:paraId="4B157E3C" w14:textId="1BF94227" w:rsidR="004679EF" w:rsidRPr="00B92E39" w:rsidRDefault="00B84CE8" w:rsidP="002F7D75">
      <w:pPr>
        <w:pStyle w:val="berschrift2"/>
        <w:rPr>
          <w:lang w:val="en-GB"/>
        </w:rPr>
      </w:pPr>
      <w:r w:rsidRPr="00B92E39">
        <w:rPr>
          <w:lang w:val="en-GB"/>
        </w:rPr>
        <w:t>5.5 Institutional Programme Transfer Agreements (D4.5)</w:t>
      </w:r>
      <w:r w:rsidR="00AA59E8">
        <w:rPr>
          <w:lang w:val="en-GB"/>
        </w:rPr>
        <w:t xml:space="preserve"> - Exploitation</w:t>
      </w:r>
    </w:p>
    <w:p w14:paraId="1298A43C" w14:textId="3D10B591"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 xml:space="preserve">Formalize and publicly communicate agreements with six HEIs and </w:t>
      </w:r>
      <w:r w:rsidR="006E53BA">
        <w:rPr>
          <w:rFonts w:asciiTheme="majorHAnsi" w:hAnsiTheme="majorHAnsi" w:cstheme="majorHAnsi"/>
          <w:lang w:val="en-GB"/>
        </w:rPr>
        <w:t xml:space="preserve">six </w:t>
      </w:r>
      <w:r w:rsidRPr="002F7D75">
        <w:rPr>
          <w:rFonts w:asciiTheme="majorHAnsi" w:hAnsiTheme="majorHAnsi" w:cstheme="majorHAnsi"/>
          <w:lang w:val="en-GB"/>
        </w:rPr>
        <w:t>youth organizations.</w:t>
      </w:r>
    </w:p>
    <w:p w14:paraId="04E13C83" w14:textId="6152631D"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Share successful models and guidelines through webinars, policy forums, and institutional meetings.</w:t>
      </w:r>
    </w:p>
    <w:p w14:paraId="21E439A1" w14:textId="1C9DA7A8" w:rsidR="004679EF" w:rsidRPr="00B92E39" w:rsidRDefault="002F7D75" w:rsidP="002F7D75">
      <w:pPr>
        <w:pStyle w:val="berschrift2"/>
        <w:rPr>
          <w:lang w:val="en-GB"/>
        </w:rPr>
      </w:pPr>
      <w:r>
        <w:rPr>
          <w:lang w:val="en-GB"/>
        </w:rPr>
        <w:t>5</w:t>
      </w:r>
      <w:r w:rsidR="00B84CE8" w:rsidRPr="00B92E39">
        <w:rPr>
          <w:lang w:val="en-GB"/>
        </w:rPr>
        <w:t>.6 Conference and Conference Report (D4.6)</w:t>
      </w:r>
      <w:r w:rsidR="00AA59E8">
        <w:rPr>
          <w:lang w:val="en-GB"/>
        </w:rPr>
        <w:t xml:space="preserve"> - Exploitation</w:t>
      </w:r>
    </w:p>
    <w:p w14:paraId="4B839E3E" w14:textId="0D393D9F"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Host a virtual international conference to showcase results and engage stakeholders.</w:t>
      </w:r>
    </w:p>
    <w:p w14:paraId="135A98AD" w14:textId="4B3F8798"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Publish a comprehensive conference report for broad distribution and reference.</w:t>
      </w:r>
    </w:p>
    <w:p w14:paraId="159FEAC2" w14:textId="77777777" w:rsidR="004679EF" w:rsidRPr="00B92E39" w:rsidRDefault="00B84CE8" w:rsidP="00B92E39">
      <w:pPr>
        <w:pStyle w:val="berschrift1"/>
        <w:jc w:val="both"/>
        <w:rPr>
          <w:rFonts w:cstheme="majorHAnsi"/>
          <w:lang w:val="en-GB"/>
        </w:rPr>
      </w:pPr>
      <w:r w:rsidRPr="00B92E39">
        <w:rPr>
          <w:rFonts w:cstheme="majorHAnsi"/>
          <w:lang w:val="en-GB"/>
        </w:rPr>
        <w:t>6. Communication Channels</w:t>
      </w:r>
    </w:p>
    <w:p w14:paraId="32FDDA03" w14:textId="76016DD2"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Project Website: Central hub for all information, resources, news updates, and event registrations.</w:t>
      </w:r>
    </w:p>
    <w:p w14:paraId="4FA16E25" w14:textId="6E8EFECB" w:rsidR="004679EF" w:rsidRPr="002F7D75" w:rsidRDefault="00B84CE8" w:rsidP="002F7D75">
      <w:pPr>
        <w:pStyle w:val="Listenabsatz"/>
        <w:numPr>
          <w:ilvl w:val="0"/>
          <w:numId w:val="11"/>
        </w:numPr>
        <w:jc w:val="both"/>
        <w:rPr>
          <w:rFonts w:asciiTheme="majorHAnsi" w:hAnsiTheme="majorHAnsi" w:cstheme="majorHAnsi"/>
          <w:lang w:val="en-GB"/>
        </w:rPr>
      </w:pPr>
      <w:proofErr w:type="gramStart"/>
      <w:r w:rsidRPr="002F7D75">
        <w:rPr>
          <w:rFonts w:asciiTheme="majorHAnsi" w:hAnsiTheme="majorHAnsi" w:cstheme="majorHAnsi"/>
          <w:lang w:val="en-GB"/>
        </w:rPr>
        <w:t>Social Media</w:t>
      </w:r>
      <w:proofErr w:type="gramEnd"/>
      <w:r w:rsidRPr="002F7D75">
        <w:rPr>
          <w:rFonts w:asciiTheme="majorHAnsi" w:hAnsiTheme="majorHAnsi" w:cstheme="majorHAnsi"/>
          <w:lang w:val="en-GB"/>
        </w:rPr>
        <w:t>: Regular updates on Twitter (X), LinkedIn, Instagram, Facebook, and TikTok.</w:t>
      </w:r>
    </w:p>
    <w:p w14:paraId="7F0B5F19" w14:textId="531D9000"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Email Marketing: Periodic updates, newsletters, and announcements.</w:t>
      </w:r>
    </w:p>
    <w:p w14:paraId="724C443B" w14:textId="414C6465"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Media Engagement: Press releases, news articles, and interviews to local and international media.</w:t>
      </w:r>
    </w:p>
    <w:p w14:paraId="7B15030A" w14:textId="246563B7" w:rsidR="00705079" w:rsidRPr="00095257" w:rsidRDefault="00B84CE8" w:rsidP="00B92E39">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Events: Webinars, workshops, and farmers’ days at participating institutions and communities.</w:t>
      </w:r>
    </w:p>
    <w:p w14:paraId="75451E4A" w14:textId="31BEAD8F" w:rsidR="004679EF" w:rsidRPr="00B92E39" w:rsidRDefault="00B84CE8" w:rsidP="00B92E39">
      <w:pPr>
        <w:pStyle w:val="berschrift1"/>
        <w:jc w:val="both"/>
        <w:rPr>
          <w:rFonts w:cstheme="majorHAnsi"/>
          <w:lang w:val="en-GB"/>
        </w:rPr>
      </w:pPr>
      <w:r w:rsidRPr="00B92E39">
        <w:rPr>
          <w:rFonts w:cstheme="majorHAnsi"/>
          <w:lang w:val="en-GB"/>
        </w:rPr>
        <w:t>7. Monitoring and Evaluation</w:t>
      </w:r>
    </w:p>
    <w:p w14:paraId="77A7FE22" w14:textId="65208C2A"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Monitor dissemination through website analytics, social media metrics, event attendance, and feedback surveys.</w:t>
      </w:r>
    </w:p>
    <w:p w14:paraId="02CD44EF" w14:textId="14D3D26D"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Regular reviews and adjustments to dissemination strategies based on stakeholder feedback and participation data.</w:t>
      </w:r>
    </w:p>
    <w:p w14:paraId="17DA2B91" w14:textId="30CEBE7F"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Comprehensive reporting aligned with EU requirements for visibility and communication.</w:t>
      </w:r>
    </w:p>
    <w:p w14:paraId="27C609A2" w14:textId="77777777" w:rsidR="004679EF" w:rsidRPr="00B92E39" w:rsidRDefault="00B84CE8" w:rsidP="00B92E39">
      <w:pPr>
        <w:pStyle w:val="berschrift1"/>
        <w:jc w:val="both"/>
        <w:rPr>
          <w:rFonts w:cstheme="majorHAnsi"/>
          <w:lang w:val="en-GB"/>
        </w:rPr>
      </w:pPr>
      <w:r w:rsidRPr="00B92E39">
        <w:rPr>
          <w:rFonts w:cstheme="majorHAnsi"/>
          <w:lang w:val="en-GB"/>
        </w:rPr>
        <w:lastRenderedPageBreak/>
        <w:t>8. Compliance and Visibility</w:t>
      </w:r>
    </w:p>
    <w:p w14:paraId="76C21FC3" w14:textId="77777777" w:rsidR="004F2344" w:rsidRPr="004F2344" w:rsidRDefault="004F2344" w:rsidP="004F2344">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Clear attribution of EU funding in accordance with guidelines specified in the Grant Agreement.</w:t>
      </w:r>
    </w:p>
    <w:p w14:paraId="2C07B397" w14:textId="7A417FE0" w:rsidR="004F2344" w:rsidRDefault="00B84CE8" w:rsidP="004F2344">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 xml:space="preserve">Consistent use of EU logos and </w:t>
      </w:r>
      <w:r w:rsidR="004F2344">
        <w:rPr>
          <w:rFonts w:asciiTheme="majorHAnsi" w:hAnsiTheme="majorHAnsi" w:cstheme="majorHAnsi"/>
          <w:lang w:val="en-GB"/>
        </w:rPr>
        <w:t>the following disclaimer</w:t>
      </w:r>
      <w:r w:rsidRPr="002F7D75">
        <w:rPr>
          <w:rFonts w:asciiTheme="majorHAnsi" w:hAnsiTheme="majorHAnsi" w:cstheme="majorHAnsi"/>
          <w:lang w:val="en-GB"/>
        </w:rPr>
        <w:t xml:space="preserve"> in all communications and publications.</w:t>
      </w:r>
    </w:p>
    <w:p w14:paraId="518323C2" w14:textId="2F913ADA" w:rsidR="004F2344" w:rsidRPr="005355BF" w:rsidRDefault="004F2344" w:rsidP="004F2344">
      <w:pPr>
        <w:ind w:left="720"/>
        <w:jc w:val="both"/>
        <w:rPr>
          <w:rFonts w:asciiTheme="majorHAnsi" w:hAnsiTheme="majorHAnsi" w:cstheme="majorHAnsi"/>
          <w:i/>
          <w:iCs/>
          <w:lang w:val="en-GB"/>
        </w:rPr>
      </w:pPr>
      <w:r w:rsidRPr="005355BF">
        <w:rPr>
          <w:rFonts w:asciiTheme="majorHAnsi" w:hAnsiTheme="majorHAnsi" w:cstheme="majorHAnsi"/>
          <w:i/>
          <w:iCs/>
          <w:lang w:val="en-GB"/>
        </w:rPr>
        <w:t>AGRI-MOCKS is 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R="00AA59E8" w:rsidRPr="005355BF">
        <w:rPr>
          <w:rFonts w:asciiTheme="majorHAnsi" w:hAnsiTheme="majorHAnsi" w:cstheme="majorHAnsi"/>
          <w:i/>
          <w:iCs/>
          <w:lang w:val="en-GB"/>
        </w:rPr>
        <w:t>.</w:t>
      </w:r>
    </w:p>
    <w:p w14:paraId="25E53858" w14:textId="77777777" w:rsidR="004679EF" w:rsidRPr="00B92E39" w:rsidRDefault="00B84CE8" w:rsidP="00B92E39">
      <w:pPr>
        <w:pStyle w:val="berschrift1"/>
        <w:jc w:val="both"/>
        <w:rPr>
          <w:rFonts w:cstheme="majorHAnsi"/>
          <w:lang w:val="en-GB"/>
        </w:rPr>
      </w:pPr>
      <w:r w:rsidRPr="00B92E39">
        <w:rPr>
          <w:rFonts w:cstheme="majorHAnsi"/>
          <w:lang w:val="en-GB"/>
        </w:rPr>
        <w:t>9. Action Timeline</w:t>
      </w:r>
    </w:p>
    <w:p w14:paraId="65AF4050" w14:textId="48E67CDF"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Establish alumni network platform: Month 6</w:t>
      </w:r>
    </w:p>
    <w:p w14:paraId="0F432DAF" w14:textId="1824A908"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Produce and distribute video testimonials: Months 12, 24, 36</w:t>
      </w:r>
    </w:p>
    <w:p w14:paraId="1F3C4647" w14:textId="172B51A3"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Publish Green Paper: Month 30</w:t>
      </w:r>
    </w:p>
    <w:p w14:paraId="6660D201" w14:textId="1A8DFEBA"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Newsletter publication: Months 12, 24, 36</w:t>
      </w:r>
    </w:p>
    <w:p w14:paraId="2B6563C1" w14:textId="501B2339"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Finalize institutional agreements: Month 24</w:t>
      </w:r>
    </w:p>
    <w:p w14:paraId="6BB0B276" w14:textId="7271A139" w:rsidR="004679EF" w:rsidRPr="002F7D75" w:rsidRDefault="00B84CE8" w:rsidP="002F7D75">
      <w:pPr>
        <w:pStyle w:val="Listenabsatz"/>
        <w:numPr>
          <w:ilvl w:val="0"/>
          <w:numId w:val="11"/>
        </w:numPr>
        <w:jc w:val="both"/>
        <w:rPr>
          <w:rFonts w:asciiTheme="majorHAnsi" w:hAnsiTheme="majorHAnsi" w:cstheme="majorHAnsi"/>
          <w:lang w:val="en-GB"/>
        </w:rPr>
      </w:pPr>
      <w:r w:rsidRPr="002F7D75">
        <w:rPr>
          <w:rFonts w:asciiTheme="majorHAnsi" w:hAnsiTheme="majorHAnsi" w:cstheme="majorHAnsi"/>
          <w:lang w:val="en-GB"/>
        </w:rPr>
        <w:t>Host virtual conference and publish report: Month 35</w:t>
      </w:r>
    </w:p>
    <w:p w14:paraId="74BB406A" w14:textId="77777777" w:rsidR="004679EF" w:rsidRPr="00B92E39" w:rsidRDefault="00B84CE8" w:rsidP="00B92E39">
      <w:pPr>
        <w:pStyle w:val="berschrift1"/>
        <w:jc w:val="both"/>
        <w:rPr>
          <w:rFonts w:cstheme="majorHAnsi"/>
          <w:lang w:val="en-GB"/>
        </w:rPr>
      </w:pPr>
      <w:r w:rsidRPr="00B92E39">
        <w:rPr>
          <w:rFonts w:cstheme="majorHAnsi"/>
          <w:lang w:val="en-GB"/>
        </w:rPr>
        <w:t>10. Conclusion</w:t>
      </w:r>
    </w:p>
    <w:p w14:paraId="4EA323E9" w14:textId="77777777" w:rsidR="004679EF" w:rsidRPr="00B92E39" w:rsidRDefault="00B84CE8" w:rsidP="00B92E39">
      <w:pPr>
        <w:jc w:val="both"/>
        <w:rPr>
          <w:rFonts w:asciiTheme="majorHAnsi" w:hAnsiTheme="majorHAnsi" w:cstheme="majorHAnsi"/>
          <w:lang w:val="en-GB"/>
        </w:rPr>
      </w:pPr>
      <w:r w:rsidRPr="00B92E39">
        <w:rPr>
          <w:rFonts w:asciiTheme="majorHAnsi" w:hAnsiTheme="majorHAnsi" w:cstheme="majorHAnsi"/>
          <w:lang w:val="en-GB"/>
        </w:rPr>
        <w:t>This dissemination plan ensures AGRI-MOCKS results are effectively communicated and sustainably adopted, enhancing skills and employment prospects in agriculture and rural development sectors across participating regions.</w:t>
      </w:r>
    </w:p>
    <w:sectPr w:rsidR="004679EF" w:rsidRPr="00B92E39"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41DB" w14:textId="77777777" w:rsidR="00973512" w:rsidRDefault="00973512" w:rsidP="00705079">
      <w:pPr>
        <w:spacing w:after="0" w:line="240" w:lineRule="auto"/>
      </w:pPr>
      <w:r>
        <w:separator/>
      </w:r>
    </w:p>
  </w:endnote>
  <w:endnote w:type="continuationSeparator" w:id="0">
    <w:p w14:paraId="2B75EA9E" w14:textId="77777777" w:rsidR="00973512" w:rsidRDefault="00973512" w:rsidP="0070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35BB" w14:textId="59C20FD8" w:rsidR="00705079" w:rsidRDefault="00705079" w:rsidP="00705079">
    <w:r w:rsidRPr="00AA2776">
      <w:rPr>
        <w:sz w:val="1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00052" w14:textId="77777777" w:rsidR="00973512" w:rsidRDefault="00973512" w:rsidP="00705079">
      <w:pPr>
        <w:spacing w:after="0" w:line="240" w:lineRule="auto"/>
      </w:pPr>
      <w:r>
        <w:separator/>
      </w:r>
    </w:p>
  </w:footnote>
  <w:footnote w:type="continuationSeparator" w:id="0">
    <w:p w14:paraId="516BE00D" w14:textId="77777777" w:rsidR="00973512" w:rsidRDefault="00973512" w:rsidP="00705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189C" w14:textId="01EB2E8B" w:rsidR="00705079" w:rsidRDefault="00705079" w:rsidP="00705079">
    <w:pPr>
      <w:pStyle w:val="StandardWeb"/>
      <w:ind w:left="-360" w:right="-648"/>
      <w:rPr>
        <w:noProof/>
      </w:rPr>
    </w:pPr>
    <w:r>
      <w:rPr>
        <w:rFonts w:cs="Arial"/>
        <w:noProof/>
      </w:rPr>
      <w:drawing>
        <wp:inline distT="0" distB="0" distL="0" distR="0" wp14:anchorId="34C221D1" wp14:editId="169825D8">
          <wp:extent cx="453189" cy="457200"/>
          <wp:effectExtent l="0" t="0" r="4445" b="0"/>
          <wp:docPr id="33" name="Picture 33" descr="C:\Users\hswt993anj\AppData\Local\Microsoft\Windows\INetCache\Content.MSO\69EFB06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hswt993anj\AppData\Local\Microsoft\Windows\INetCache\Content.MSO\69EFB06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189" cy="457200"/>
                  </a:xfrm>
                  <a:prstGeom prst="rect">
                    <a:avLst/>
                  </a:prstGeom>
                  <a:noFill/>
                  <a:ln>
                    <a:noFill/>
                  </a:ln>
                </pic:spPr>
              </pic:pic>
            </a:graphicData>
          </a:graphic>
        </wp:inline>
      </w:drawing>
    </w:r>
    <w:r>
      <w:rPr>
        <w:rFonts w:cs="Arial"/>
        <w:noProof/>
      </w:rPr>
      <w:drawing>
        <wp:inline distT="0" distB="0" distL="0" distR="0" wp14:anchorId="65F09DEB" wp14:editId="5AE72107">
          <wp:extent cx="481913" cy="457200"/>
          <wp:effectExtent l="0" t="0" r="0" b="0"/>
          <wp:docPr id="32" name="Picture 32" descr="C:\Users\hswt993anj\AppData\Local\Microsoft\Windows\INetCache\Content.MSO\F90B042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hswt993anj\AppData\Local\Microsoft\Windows\INetCache\Content.MSO\F90B042E.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1913" cy="457200"/>
                  </a:xfrm>
                  <a:prstGeom prst="rect">
                    <a:avLst/>
                  </a:prstGeom>
                  <a:noFill/>
                  <a:ln>
                    <a:noFill/>
                  </a:ln>
                </pic:spPr>
              </pic:pic>
            </a:graphicData>
          </a:graphic>
        </wp:inline>
      </w:drawing>
    </w:r>
    <w:r>
      <w:rPr>
        <w:rFonts w:cs="Arial"/>
        <w:noProof/>
      </w:rPr>
      <w:drawing>
        <wp:inline distT="0" distB="0" distL="0" distR="0" wp14:anchorId="6FEAEF85" wp14:editId="22F3A353">
          <wp:extent cx="457200" cy="457200"/>
          <wp:effectExtent l="0" t="0" r="0" b="0"/>
          <wp:docPr id="31" name="Picture 31" descr="C:\Users\hswt993anj\AppData\Local\Microsoft\Windows\INetCache\Content.MSO\C4BA61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hswt993anj\AppData\Local\Microsoft\Windows\INetCache\Content.MSO\C4BA6120.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Fonts w:cs="Arial"/>
        <w:noProof/>
      </w:rPr>
      <w:drawing>
        <wp:inline distT="0" distB="0" distL="0" distR="0" wp14:anchorId="77CD711A" wp14:editId="1F78FD5D">
          <wp:extent cx="388620" cy="457200"/>
          <wp:effectExtent l="0" t="0" r="0" b="0"/>
          <wp:docPr id="34" name="Picture 34" descr="C:\Users\hswt993anj\AppData\Local\Microsoft\Windows\INetCache\Content.MSO\5E5BAD5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hswt993anj\AppData\Local\Microsoft\Windows\INetCache\Content.MSO\5E5BAD5A.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8620" cy="457200"/>
                  </a:xfrm>
                  <a:prstGeom prst="rect">
                    <a:avLst/>
                  </a:prstGeom>
                  <a:noFill/>
                  <a:ln>
                    <a:noFill/>
                  </a:ln>
                </pic:spPr>
              </pic:pic>
            </a:graphicData>
          </a:graphic>
        </wp:inline>
      </w:drawing>
    </w:r>
    <w:r>
      <w:rPr>
        <w:rFonts w:cs="Arial"/>
        <w:noProof/>
      </w:rPr>
      <w:drawing>
        <wp:inline distT="0" distB="0" distL="0" distR="0" wp14:anchorId="7F9CA9A1" wp14:editId="38248551">
          <wp:extent cx="450243" cy="457200"/>
          <wp:effectExtent l="0" t="0" r="6985" b="0"/>
          <wp:docPr id="35" name="Picture 35" descr="C:\Users\hswt993anj\AppData\Local\Microsoft\Windows\INetCache\Content.MSO\3E9B2E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hswt993anj\AppData\Local\Microsoft\Windows\INetCache\Content.MSO\3E9B2E78.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243" cy="457200"/>
                  </a:xfrm>
                  <a:prstGeom prst="rect">
                    <a:avLst/>
                  </a:prstGeom>
                  <a:noFill/>
                  <a:ln>
                    <a:noFill/>
                  </a:ln>
                </pic:spPr>
              </pic:pic>
            </a:graphicData>
          </a:graphic>
        </wp:inline>
      </w:drawing>
    </w:r>
    <w:r>
      <w:rPr>
        <w:rFonts w:cs="Arial"/>
        <w:noProof/>
      </w:rPr>
      <w:drawing>
        <wp:inline distT="0" distB="0" distL="0" distR="0" wp14:anchorId="6C1B49C4" wp14:editId="6DE9E022">
          <wp:extent cx="439478" cy="457200"/>
          <wp:effectExtent l="0" t="0" r="0" b="0"/>
          <wp:docPr id="36" name="Picture 36" descr="C:\Users\hswt993anj\AppData\Local\Microsoft\Windows\INetCache\Content.MSO\B7E33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hswt993anj\AppData\Local\Microsoft\Windows\INetCache\Content.MSO\B7E3346.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478" cy="457200"/>
                  </a:xfrm>
                  <a:prstGeom prst="rect">
                    <a:avLst/>
                  </a:prstGeom>
                  <a:noFill/>
                  <a:ln>
                    <a:noFill/>
                  </a:ln>
                </pic:spPr>
              </pic:pic>
            </a:graphicData>
          </a:graphic>
        </wp:inline>
      </w:drawing>
    </w:r>
    <w:r>
      <w:rPr>
        <w:rFonts w:cs="Arial"/>
        <w:noProof/>
      </w:rPr>
      <w:drawing>
        <wp:inline distT="0" distB="0" distL="0" distR="0" wp14:anchorId="404862FA" wp14:editId="3409D694">
          <wp:extent cx="420833" cy="457200"/>
          <wp:effectExtent l="0" t="0" r="0" b="0"/>
          <wp:docPr id="37" name="Picture 37" descr="C:\Users\hswt993anj\AppData\Local\Microsoft\Windows\INetCache\Content.MSO\7226674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hswt993anj\AppData\Local\Microsoft\Windows\INetCache\Content.MSO\72266744.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833" cy="457200"/>
                  </a:xfrm>
                  <a:prstGeom prst="rect">
                    <a:avLst/>
                  </a:prstGeom>
                  <a:noFill/>
                  <a:ln>
                    <a:noFill/>
                  </a:ln>
                </pic:spPr>
              </pic:pic>
            </a:graphicData>
          </a:graphic>
        </wp:inline>
      </w:drawing>
    </w:r>
    <w:r>
      <w:rPr>
        <w:rFonts w:cs="Arial"/>
        <w:noProof/>
      </w:rPr>
      <w:drawing>
        <wp:inline distT="0" distB="0" distL="0" distR="0" wp14:anchorId="7879C9B9" wp14:editId="733CB5DD">
          <wp:extent cx="486698" cy="457200"/>
          <wp:effectExtent l="0" t="0" r="8890" b="0"/>
          <wp:docPr id="38" name="Picture 38" descr="C:\Users\hswt993anj\AppData\Local\Microsoft\Windows\INetCache\Content.MSO\DB7001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hswt993anj\AppData\Local\Microsoft\Windows\INetCache\Content.MSO\DB7001F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698" cy="457200"/>
                  </a:xfrm>
                  <a:prstGeom prst="rect">
                    <a:avLst/>
                  </a:prstGeom>
                  <a:noFill/>
                  <a:ln>
                    <a:noFill/>
                  </a:ln>
                </pic:spPr>
              </pic:pic>
            </a:graphicData>
          </a:graphic>
        </wp:inline>
      </w:drawing>
    </w:r>
    <w:r>
      <w:rPr>
        <w:rFonts w:cs="Arial"/>
        <w:noProof/>
      </w:rPr>
      <w:drawing>
        <wp:inline distT="0" distB="0" distL="0" distR="0" wp14:anchorId="7B19E2A2" wp14:editId="2B184ABA">
          <wp:extent cx="439698" cy="457200"/>
          <wp:effectExtent l="0" t="0" r="0" b="0"/>
          <wp:docPr id="39" name="Picture 39" descr="C:\Users\hswt993anj\AppData\Local\Microsoft\Windows\INetCache\Content.MSO\48ADA6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hswt993anj\AppData\Local\Microsoft\Windows\INetCache\Content.MSO\48ADA6D0.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698" cy="457200"/>
                  </a:xfrm>
                  <a:prstGeom prst="rect">
                    <a:avLst/>
                  </a:prstGeom>
                  <a:noFill/>
                  <a:ln>
                    <a:noFill/>
                  </a:ln>
                </pic:spPr>
              </pic:pic>
            </a:graphicData>
          </a:graphic>
        </wp:inline>
      </w:drawing>
    </w:r>
    <w:r>
      <w:rPr>
        <w:rFonts w:cs="Arial"/>
        <w:noProof/>
      </w:rPr>
      <w:drawing>
        <wp:inline distT="0" distB="0" distL="0" distR="0" wp14:anchorId="5DF78E5F" wp14:editId="7D1DB351">
          <wp:extent cx="473337" cy="457200"/>
          <wp:effectExtent l="0" t="0" r="3175" b="0"/>
          <wp:docPr id="40" name="Picture 40" descr="C:\Users\hswt993anj\AppData\Local\Microsoft\Windows\INetCache\Content.MSO\902F45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hswt993anj\AppData\Local\Microsoft\Windows\INetCache\Content.MSO\902F455E.tmp"/>
                  <pic:cNvPicPr>
                    <a:picLocks noChangeAspect="1" noChangeArrowheads="1"/>
                  </pic:cNvPicPr>
                </pic:nvPicPr>
                <pic:blipFill rotWithShape="1">
                  <a:blip r:embed="rId10">
                    <a:extLst>
                      <a:ext uri="{28A0092B-C50C-407E-A947-70E740481C1C}">
                        <a14:useLocalDpi xmlns:a14="http://schemas.microsoft.com/office/drawing/2010/main" val="0"/>
                      </a:ext>
                    </a:extLst>
                  </a:blip>
                  <a:srcRect t="50867" r="65892"/>
                  <a:stretch/>
                </pic:blipFill>
                <pic:spPr bwMode="auto">
                  <a:xfrm>
                    <a:off x="0" y="0"/>
                    <a:ext cx="473337" cy="4572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77751E56" wp14:editId="6319C971">
          <wp:extent cx="1257299" cy="457200"/>
          <wp:effectExtent l="0" t="0" r="635" b="0"/>
          <wp:docPr id="41" name="Picture 41" descr="C:\Users\hswt993anj\Downloads\EU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hswt993anj\Downloads\EU logo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299"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4975299"/>
    <w:multiLevelType w:val="hybridMultilevel"/>
    <w:tmpl w:val="DD44F5E4"/>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68B41FE"/>
    <w:multiLevelType w:val="hybridMultilevel"/>
    <w:tmpl w:val="DD96573E"/>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D720ABB"/>
    <w:multiLevelType w:val="hybridMultilevel"/>
    <w:tmpl w:val="B4EC3976"/>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E257896"/>
    <w:multiLevelType w:val="hybridMultilevel"/>
    <w:tmpl w:val="75688984"/>
    <w:lvl w:ilvl="0" w:tplc="BA6C4326">
      <w:start w:val="1"/>
      <w:numFmt w:val="bullet"/>
      <w:lvlText w:val="-"/>
      <w:lvlJc w:val="left"/>
      <w:pPr>
        <w:ind w:left="360" w:hanging="360"/>
      </w:pPr>
      <w:rPr>
        <w:rFonts w:ascii="Calibri" w:eastAsiaTheme="minorEastAsia" w:hAnsi="Calibri" w:cs="Calibri"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36477324"/>
    <w:multiLevelType w:val="hybridMultilevel"/>
    <w:tmpl w:val="F8A67A38"/>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9286822"/>
    <w:multiLevelType w:val="hybridMultilevel"/>
    <w:tmpl w:val="7562AC20"/>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ACB35A2"/>
    <w:multiLevelType w:val="hybridMultilevel"/>
    <w:tmpl w:val="85B4F3C8"/>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BA72F5A"/>
    <w:multiLevelType w:val="hybridMultilevel"/>
    <w:tmpl w:val="750E0B74"/>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08F659D"/>
    <w:multiLevelType w:val="hybridMultilevel"/>
    <w:tmpl w:val="F894F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3CF7AF9"/>
    <w:multiLevelType w:val="hybridMultilevel"/>
    <w:tmpl w:val="DACC4B14"/>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5FD1AEB"/>
    <w:multiLevelType w:val="hybridMultilevel"/>
    <w:tmpl w:val="E2E858EA"/>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B8F37CD"/>
    <w:multiLevelType w:val="hybridMultilevel"/>
    <w:tmpl w:val="002625B6"/>
    <w:lvl w:ilvl="0" w:tplc="BA6C4326">
      <w:start w:val="1"/>
      <w:numFmt w:val="bullet"/>
      <w:lvlText w:val="-"/>
      <w:lvlJc w:val="left"/>
      <w:pPr>
        <w:ind w:left="36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BAD105D"/>
    <w:multiLevelType w:val="hybridMultilevel"/>
    <w:tmpl w:val="0B008212"/>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76F1C6D"/>
    <w:multiLevelType w:val="hybridMultilevel"/>
    <w:tmpl w:val="51A23EB6"/>
    <w:lvl w:ilvl="0" w:tplc="BA6C4326">
      <w:start w:val="1"/>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93264084">
    <w:abstractNumId w:val="8"/>
  </w:num>
  <w:num w:numId="2" w16cid:durableId="1802066965">
    <w:abstractNumId w:val="6"/>
  </w:num>
  <w:num w:numId="3" w16cid:durableId="1005405405">
    <w:abstractNumId w:val="5"/>
  </w:num>
  <w:num w:numId="4" w16cid:durableId="1334062684">
    <w:abstractNumId w:val="4"/>
  </w:num>
  <w:num w:numId="5" w16cid:durableId="416633222">
    <w:abstractNumId w:val="7"/>
  </w:num>
  <w:num w:numId="6" w16cid:durableId="2038382586">
    <w:abstractNumId w:val="3"/>
  </w:num>
  <w:num w:numId="7" w16cid:durableId="602226833">
    <w:abstractNumId w:val="2"/>
  </w:num>
  <w:num w:numId="8" w16cid:durableId="763846101">
    <w:abstractNumId w:val="1"/>
  </w:num>
  <w:num w:numId="9" w16cid:durableId="1877697528">
    <w:abstractNumId w:val="0"/>
  </w:num>
  <w:num w:numId="10" w16cid:durableId="1799492290">
    <w:abstractNumId w:val="17"/>
  </w:num>
  <w:num w:numId="11" w16cid:durableId="1955944242">
    <w:abstractNumId w:val="12"/>
  </w:num>
  <w:num w:numId="12" w16cid:durableId="1755593452">
    <w:abstractNumId w:val="15"/>
  </w:num>
  <w:num w:numId="13" w16cid:durableId="1463186862">
    <w:abstractNumId w:val="18"/>
  </w:num>
  <w:num w:numId="14" w16cid:durableId="322710255">
    <w:abstractNumId w:val="20"/>
  </w:num>
  <w:num w:numId="15" w16cid:durableId="1876694725">
    <w:abstractNumId w:val="16"/>
  </w:num>
  <w:num w:numId="16" w16cid:durableId="1132483792">
    <w:abstractNumId w:val="10"/>
  </w:num>
  <w:num w:numId="17" w16cid:durableId="2007440268">
    <w:abstractNumId w:val="9"/>
  </w:num>
  <w:num w:numId="18" w16cid:durableId="1272666928">
    <w:abstractNumId w:val="11"/>
  </w:num>
  <w:num w:numId="19" w16cid:durableId="906303485">
    <w:abstractNumId w:val="21"/>
  </w:num>
  <w:num w:numId="20" w16cid:durableId="1663049721">
    <w:abstractNumId w:val="14"/>
  </w:num>
  <w:num w:numId="21" w16cid:durableId="1436091940">
    <w:abstractNumId w:val="19"/>
  </w:num>
  <w:num w:numId="22" w16cid:durableId="132721526">
    <w:abstractNumId w:val="22"/>
  </w:num>
  <w:num w:numId="23" w16cid:durableId="294215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1NbM0Mza0NDAzsbRU0lEKTi0uzszPAykwrAUAYJcEjCwAAAA="/>
  </w:docVars>
  <w:rsids>
    <w:rsidRoot w:val="00B47730"/>
    <w:rsid w:val="00034616"/>
    <w:rsid w:val="0006063C"/>
    <w:rsid w:val="00077E2C"/>
    <w:rsid w:val="00095257"/>
    <w:rsid w:val="0015074B"/>
    <w:rsid w:val="0029639D"/>
    <w:rsid w:val="002F7D75"/>
    <w:rsid w:val="00326F90"/>
    <w:rsid w:val="004679EF"/>
    <w:rsid w:val="004F2344"/>
    <w:rsid w:val="005355BF"/>
    <w:rsid w:val="00693EC7"/>
    <w:rsid w:val="006E53BA"/>
    <w:rsid w:val="00705079"/>
    <w:rsid w:val="007B42BB"/>
    <w:rsid w:val="00915F07"/>
    <w:rsid w:val="00973512"/>
    <w:rsid w:val="009D1921"/>
    <w:rsid w:val="00A94D33"/>
    <w:rsid w:val="00AA1D8D"/>
    <w:rsid w:val="00AA59E8"/>
    <w:rsid w:val="00B47730"/>
    <w:rsid w:val="00B84CE8"/>
    <w:rsid w:val="00B92E39"/>
    <w:rsid w:val="00BF40A1"/>
    <w:rsid w:val="00C60CA9"/>
    <w:rsid w:val="00CB0664"/>
    <w:rsid w:val="00D3505C"/>
    <w:rsid w:val="00E214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8864B"/>
  <w14:defaultImageDpi w14:val="300"/>
  <w15:docId w15:val="{C349131E-019C-4769-A28F-680077F63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unhideWhenUsed/>
    <w:rsid w:val="00705079"/>
    <w:pPr>
      <w:spacing w:before="100" w:beforeAutospacing="1" w:after="100" w:afterAutospacing="1" w:line="240" w:lineRule="auto"/>
    </w:pPr>
    <w:rPr>
      <w:rFonts w:ascii="Times New Roman" w:eastAsia="Times New Roman" w:hAnsi="Times New Roman" w:cs="Times New Roman"/>
      <w:sz w:val="24"/>
      <w:szCs w:val="24"/>
      <w:lang w:val="de-D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3615">
      <w:bodyDiv w:val="1"/>
      <w:marLeft w:val="0"/>
      <w:marRight w:val="0"/>
      <w:marTop w:val="0"/>
      <w:marBottom w:val="0"/>
      <w:divBdr>
        <w:top w:val="none" w:sz="0" w:space="0" w:color="auto"/>
        <w:left w:val="none" w:sz="0" w:space="0" w:color="auto"/>
        <w:bottom w:val="none" w:sz="0" w:space="0" w:color="auto"/>
        <w:right w:val="none" w:sz="0" w:space="0" w:color="auto"/>
      </w:divBdr>
    </w:div>
    <w:div w:id="143275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805</Words>
  <Characters>4291</Characters>
  <Application>Microsoft Office Word</Application>
  <DocSecurity>0</DocSecurity>
  <Lines>225</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hswt</cp:lastModifiedBy>
  <cp:revision>2</cp:revision>
  <dcterms:created xsi:type="dcterms:W3CDTF">2025-05-13T09:07:00Z</dcterms:created>
  <dcterms:modified xsi:type="dcterms:W3CDTF">2025-05-13T09:07:00Z</dcterms:modified>
  <cp:category/>
</cp:coreProperties>
</file>