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B641" w14:textId="700A2B21" w:rsidR="00172C1C" w:rsidRDefault="00172C1C" w:rsidP="00EE5882">
      <w:pPr>
        <w:jc w:val="center"/>
        <w:rPr>
          <w:b/>
          <w:bCs/>
          <w:lang w:val="en-US"/>
        </w:rPr>
      </w:pPr>
      <w:r>
        <w:rPr>
          <w:b/>
          <w:bCs/>
          <w:noProof/>
          <w:lang w:val="en-US"/>
        </w:rPr>
        <w:drawing>
          <wp:inline distT="0" distB="0" distL="0" distR="0" wp14:anchorId="2D50E255" wp14:editId="1A13C2BE">
            <wp:extent cx="4610100" cy="1778400"/>
            <wp:effectExtent l="0" t="0" r="0" b="0"/>
            <wp:docPr id="138155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1932" cy="1786822"/>
                    </a:xfrm>
                    <a:prstGeom prst="rect">
                      <a:avLst/>
                    </a:prstGeom>
                    <a:noFill/>
                    <a:ln>
                      <a:noFill/>
                    </a:ln>
                  </pic:spPr>
                </pic:pic>
              </a:graphicData>
            </a:graphic>
          </wp:inline>
        </w:drawing>
      </w:r>
    </w:p>
    <w:p w14:paraId="26A0764F" w14:textId="77777777" w:rsidR="00172C1C" w:rsidRDefault="00172C1C" w:rsidP="00EE5882">
      <w:pPr>
        <w:jc w:val="center"/>
        <w:rPr>
          <w:b/>
          <w:bCs/>
          <w:lang w:val="en-US"/>
        </w:rPr>
      </w:pPr>
    </w:p>
    <w:p w14:paraId="15E7078A" w14:textId="15C7A20C" w:rsidR="00B01C92" w:rsidRPr="00B01C92" w:rsidRDefault="00B01C92" w:rsidP="00EE5882">
      <w:pPr>
        <w:jc w:val="center"/>
        <w:rPr>
          <w:b/>
          <w:bCs/>
          <w:lang w:val="en-US"/>
        </w:rPr>
      </w:pPr>
      <w:r w:rsidRPr="00B01C92">
        <w:rPr>
          <w:b/>
          <w:bCs/>
          <w:lang w:val="en-US"/>
        </w:rPr>
        <w:t>Friends of the Project (FoP): Concept</w:t>
      </w:r>
      <w:r w:rsidR="00EE5882">
        <w:rPr>
          <w:b/>
          <w:bCs/>
          <w:lang w:val="en-US"/>
        </w:rPr>
        <w:t xml:space="preserve"> and</w:t>
      </w:r>
      <w:r w:rsidRPr="00B01C92">
        <w:rPr>
          <w:b/>
          <w:bCs/>
          <w:lang w:val="en-US"/>
        </w:rPr>
        <w:t xml:space="preserve"> Roles</w:t>
      </w:r>
    </w:p>
    <w:p w14:paraId="5B18F201" w14:textId="77777777" w:rsidR="00B01C92" w:rsidRPr="00B01C92" w:rsidRDefault="000B6F82" w:rsidP="00A67190">
      <w:pPr>
        <w:jc w:val="both"/>
      </w:pPr>
      <w:r>
        <w:rPr>
          <w:noProof/>
        </w:rPr>
        <w:pict w14:anchorId="209CF000">
          <v:rect id="_x0000_i1025" alt="" style="width:453.6pt;height:.05pt;mso-width-percent:0;mso-height-percent:0;mso-width-percent:0;mso-height-percent:0" o:hralign="center" o:hrstd="t" o:hr="t" fillcolor="#a0a0a0" stroked="f"/>
        </w:pict>
      </w:r>
    </w:p>
    <w:p w14:paraId="6708E508" w14:textId="77777777" w:rsidR="00B01C92" w:rsidRPr="00B01C92" w:rsidRDefault="00B01C92" w:rsidP="00A67190">
      <w:pPr>
        <w:jc w:val="both"/>
        <w:rPr>
          <w:b/>
          <w:bCs/>
          <w:lang w:val="en-US"/>
        </w:rPr>
      </w:pPr>
      <w:r w:rsidRPr="00B01C92">
        <w:rPr>
          <w:b/>
          <w:bCs/>
          <w:lang w:val="en-US"/>
        </w:rPr>
        <w:t>1. Introduction: What Are Friends of the Project?</w:t>
      </w:r>
    </w:p>
    <w:p w14:paraId="5B47477C" w14:textId="77777777" w:rsidR="00B01C92" w:rsidRPr="00B01C92" w:rsidRDefault="00B01C92" w:rsidP="00A67190">
      <w:pPr>
        <w:jc w:val="both"/>
        <w:rPr>
          <w:lang w:val="en-US"/>
        </w:rPr>
      </w:pPr>
      <w:r w:rsidRPr="00B01C92">
        <w:rPr>
          <w:lang w:val="en-US"/>
        </w:rPr>
        <w:t xml:space="preserve">The term </w:t>
      </w:r>
      <w:r w:rsidRPr="00B01C92">
        <w:rPr>
          <w:b/>
          <w:bCs/>
          <w:lang w:val="en-US"/>
        </w:rPr>
        <w:t>“Friends of the Project” (FoP)</w:t>
      </w:r>
      <w:r w:rsidRPr="00B01C92">
        <w:rPr>
          <w:lang w:val="en-US"/>
        </w:rPr>
        <w:t xml:space="preserve"> refers to individuals or groups who support a project without being formally part of its consortium or partnership. These supporters—ranging from volunteers and donors to organizations and community leaders—align with the project's goals and contribute in meaningful ways to its success.</w:t>
      </w:r>
    </w:p>
    <w:p w14:paraId="588E493F" w14:textId="77777777" w:rsidR="00B01C92" w:rsidRPr="00B01C92" w:rsidRDefault="00B01C92" w:rsidP="00A67190">
      <w:pPr>
        <w:jc w:val="both"/>
        <w:rPr>
          <w:lang w:val="en-US"/>
        </w:rPr>
      </w:pPr>
      <w:r w:rsidRPr="00B01C92">
        <w:rPr>
          <w:lang w:val="en-US"/>
        </w:rPr>
        <w:t>FoPs offer a wide range of support including expertise, time, resources, or moral encouragement. Their involvement strengthens project visibility, fosters collaboration, and helps extend impact beyond core stakeholders.</w:t>
      </w:r>
    </w:p>
    <w:p w14:paraId="659CD09F" w14:textId="77777777" w:rsidR="00B01C92" w:rsidRPr="00B01C92" w:rsidRDefault="000B6F82" w:rsidP="00A67190">
      <w:pPr>
        <w:jc w:val="both"/>
      </w:pPr>
      <w:r>
        <w:rPr>
          <w:noProof/>
        </w:rPr>
        <w:pict w14:anchorId="3FAFEC9E">
          <v:rect id="_x0000_i1026" alt="" style="width:453.6pt;height:.05pt;mso-width-percent:0;mso-height-percent:0;mso-width-percent:0;mso-height-percent:0" o:hralign="center" o:hrstd="t" o:hr="t" fillcolor="#a0a0a0" stroked="f"/>
        </w:pict>
      </w:r>
    </w:p>
    <w:p w14:paraId="4BFC62B1" w14:textId="77777777" w:rsidR="00B01C92" w:rsidRPr="00B01C92" w:rsidRDefault="00B01C92" w:rsidP="00A67190">
      <w:pPr>
        <w:jc w:val="both"/>
        <w:rPr>
          <w:b/>
          <w:bCs/>
          <w:lang w:val="en-US"/>
        </w:rPr>
      </w:pPr>
      <w:r w:rsidRPr="00B01C92">
        <w:rPr>
          <w:b/>
          <w:bCs/>
          <w:lang w:val="en-US"/>
        </w:rPr>
        <w:t>2. Why FoPs Matter to AGRI-MOCKS</w:t>
      </w:r>
    </w:p>
    <w:p w14:paraId="2C62EE9A" w14:textId="77777777" w:rsidR="00B01C92" w:rsidRPr="00B01C92" w:rsidRDefault="00B01C92" w:rsidP="00A67190">
      <w:pPr>
        <w:jc w:val="both"/>
        <w:rPr>
          <w:lang w:val="en-US"/>
        </w:rPr>
      </w:pPr>
      <w:r w:rsidRPr="00B01C92">
        <w:rPr>
          <w:lang w:val="en-US"/>
        </w:rPr>
        <w:t xml:space="preserve">The </w:t>
      </w:r>
      <w:r w:rsidRPr="00B01C92">
        <w:rPr>
          <w:b/>
          <w:bCs/>
          <w:lang w:val="en-US"/>
        </w:rPr>
        <w:t>AGRI-MOCKS</w:t>
      </w:r>
      <w:r w:rsidRPr="00B01C92">
        <w:rPr>
          <w:lang w:val="en-US"/>
        </w:rPr>
        <w:t xml:space="preserve"> project aims to improve practical learning in agriculture, especially in regions like Africa where hands-on training opportunities are often limited for students and young people. FoPs can play a key role in addressing these gaps by:</w:t>
      </w:r>
    </w:p>
    <w:p w14:paraId="6A685CAA" w14:textId="77777777" w:rsidR="00B01C92" w:rsidRPr="00B01C92" w:rsidRDefault="00B01C92" w:rsidP="00A67190">
      <w:pPr>
        <w:numPr>
          <w:ilvl w:val="0"/>
          <w:numId w:val="6"/>
        </w:numPr>
        <w:jc w:val="both"/>
      </w:pPr>
      <w:r w:rsidRPr="00B01C92">
        <w:t>Supporting educational initiatives and outreach</w:t>
      </w:r>
    </w:p>
    <w:p w14:paraId="40B7D3FA" w14:textId="77777777" w:rsidR="00B01C92" w:rsidRPr="00B01C92" w:rsidRDefault="00B01C92" w:rsidP="00A67190">
      <w:pPr>
        <w:numPr>
          <w:ilvl w:val="0"/>
          <w:numId w:val="6"/>
        </w:numPr>
        <w:jc w:val="both"/>
        <w:rPr>
          <w:lang w:val="en-US"/>
        </w:rPr>
      </w:pPr>
      <w:r w:rsidRPr="00B01C92">
        <w:rPr>
          <w:lang w:val="en-US"/>
        </w:rPr>
        <w:t>Strengthening links between academic institutions and youth organizations</w:t>
      </w:r>
    </w:p>
    <w:p w14:paraId="674BFF13" w14:textId="77777777" w:rsidR="00B01C92" w:rsidRPr="00B01C92" w:rsidRDefault="00B01C92" w:rsidP="00A67190">
      <w:pPr>
        <w:numPr>
          <w:ilvl w:val="0"/>
          <w:numId w:val="6"/>
        </w:numPr>
        <w:jc w:val="both"/>
      </w:pPr>
      <w:r w:rsidRPr="00B01C92">
        <w:t>Facilitating cross-sector collaborations</w:t>
      </w:r>
    </w:p>
    <w:p w14:paraId="69857343" w14:textId="77777777" w:rsidR="00B01C92" w:rsidRPr="00B01C92" w:rsidRDefault="00B01C92" w:rsidP="00A67190">
      <w:pPr>
        <w:numPr>
          <w:ilvl w:val="0"/>
          <w:numId w:val="6"/>
        </w:numPr>
        <w:jc w:val="both"/>
        <w:rPr>
          <w:lang w:val="en-US"/>
        </w:rPr>
      </w:pPr>
      <w:r w:rsidRPr="00B01C92">
        <w:rPr>
          <w:lang w:val="en-US"/>
        </w:rPr>
        <w:t>Raising public awareness around agricultural development</w:t>
      </w:r>
    </w:p>
    <w:p w14:paraId="3FA3B8BE" w14:textId="77777777" w:rsidR="00B01C92" w:rsidRPr="00B01C92" w:rsidRDefault="00B01C92" w:rsidP="00A67190">
      <w:pPr>
        <w:jc w:val="both"/>
        <w:rPr>
          <w:lang w:val="en-US"/>
        </w:rPr>
      </w:pPr>
      <w:r w:rsidRPr="00B01C92">
        <w:rPr>
          <w:lang w:val="en-US"/>
        </w:rPr>
        <w:t>FoPs are especially valuable in building strategic bridges between education, research, community action, and policy-making.</w:t>
      </w:r>
    </w:p>
    <w:p w14:paraId="06F31DFB" w14:textId="77777777" w:rsidR="00B01C92" w:rsidRPr="00B01C92" w:rsidRDefault="000B6F82" w:rsidP="00A67190">
      <w:pPr>
        <w:jc w:val="both"/>
      </w:pPr>
      <w:r>
        <w:rPr>
          <w:noProof/>
        </w:rPr>
        <w:pict w14:anchorId="5B154137">
          <v:rect id="_x0000_i1027" alt="" style="width:453.6pt;height:.05pt;mso-width-percent:0;mso-height-percent:0;mso-width-percent:0;mso-height-percent:0" o:hralign="center" o:hrstd="t" o:hr="t" fillcolor="#a0a0a0" stroked="f"/>
        </w:pict>
      </w:r>
    </w:p>
    <w:p w14:paraId="37D1C834" w14:textId="77777777" w:rsidR="00B01C92" w:rsidRPr="00B01C92" w:rsidRDefault="00B01C92" w:rsidP="00A67190">
      <w:pPr>
        <w:jc w:val="both"/>
        <w:rPr>
          <w:b/>
          <w:bCs/>
          <w:lang w:val="en-US"/>
        </w:rPr>
      </w:pPr>
      <w:r w:rsidRPr="00B01C92">
        <w:rPr>
          <w:b/>
          <w:bCs/>
          <w:lang w:val="en-US"/>
        </w:rPr>
        <w:t>3. How FoPs Contribute</w:t>
      </w:r>
    </w:p>
    <w:p w14:paraId="05FA3834" w14:textId="77777777" w:rsidR="00B01C92" w:rsidRPr="00B01C92" w:rsidRDefault="00B01C92" w:rsidP="00A67190">
      <w:pPr>
        <w:jc w:val="both"/>
        <w:rPr>
          <w:lang w:val="en-US"/>
        </w:rPr>
      </w:pPr>
      <w:r w:rsidRPr="00B01C92">
        <w:rPr>
          <w:lang w:val="en-US"/>
        </w:rPr>
        <w:t>FoPs can support AGRI-MOCKS in the following ways:</w:t>
      </w:r>
    </w:p>
    <w:p w14:paraId="6B4AD70A" w14:textId="77777777" w:rsidR="00B01C92" w:rsidRPr="00B01C92" w:rsidRDefault="00B01C92" w:rsidP="00A67190">
      <w:pPr>
        <w:jc w:val="both"/>
        <w:rPr>
          <w:b/>
          <w:bCs/>
        </w:rPr>
      </w:pPr>
      <w:r w:rsidRPr="00B01C92">
        <w:rPr>
          <w:rFonts w:ascii="Segoe UI Emoji" w:hAnsi="Segoe UI Emoji" w:cs="Segoe UI Emoji"/>
          <w:b/>
          <w:bCs/>
        </w:rPr>
        <w:lastRenderedPageBreak/>
        <w:t>🔹</w:t>
      </w:r>
      <w:r w:rsidRPr="00B01C92">
        <w:rPr>
          <w:b/>
          <w:bCs/>
        </w:rPr>
        <w:t xml:space="preserve"> Capacity Building</w:t>
      </w:r>
    </w:p>
    <w:p w14:paraId="312884A8" w14:textId="77777777" w:rsidR="00B01C92" w:rsidRPr="00B01C92" w:rsidRDefault="00B01C92" w:rsidP="00A67190">
      <w:pPr>
        <w:numPr>
          <w:ilvl w:val="0"/>
          <w:numId w:val="7"/>
        </w:numPr>
        <w:jc w:val="both"/>
        <w:rPr>
          <w:lang w:val="en-US"/>
        </w:rPr>
      </w:pPr>
      <w:r w:rsidRPr="00B01C92">
        <w:rPr>
          <w:lang w:val="en-US"/>
        </w:rPr>
        <w:t>Collaborate with youth-focused organizations to integrate soft skills training into agricultural education.</w:t>
      </w:r>
    </w:p>
    <w:p w14:paraId="7A75FBC4" w14:textId="77777777" w:rsidR="00B01C92" w:rsidRPr="00B01C92" w:rsidRDefault="00B01C92" w:rsidP="00A67190">
      <w:pPr>
        <w:numPr>
          <w:ilvl w:val="0"/>
          <w:numId w:val="7"/>
        </w:numPr>
        <w:jc w:val="both"/>
        <w:rPr>
          <w:lang w:val="en-US"/>
        </w:rPr>
      </w:pPr>
      <w:r w:rsidRPr="00B01C92">
        <w:rPr>
          <w:lang w:val="en-US"/>
        </w:rPr>
        <w:t xml:space="preserve">Enhance training programs through partnerships with institutions like </w:t>
      </w:r>
      <w:r w:rsidRPr="00B01C92">
        <w:rPr>
          <w:b/>
          <w:bCs/>
          <w:lang w:val="en-US"/>
        </w:rPr>
        <w:t>ERASMUS Virtual Exchange</w:t>
      </w:r>
      <w:r w:rsidRPr="00B01C92">
        <w:rPr>
          <w:lang w:val="en-US"/>
        </w:rPr>
        <w:t>.</w:t>
      </w:r>
    </w:p>
    <w:p w14:paraId="1B488D22" w14:textId="77777777" w:rsidR="00B01C92" w:rsidRPr="00B01C92" w:rsidRDefault="00B01C92" w:rsidP="00A67190">
      <w:pPr>
        <w:jc w:val="both"/>
        <w:rPr>
          <w:b/>
          <w:bCs/>
        </w:rPr>
      </w:pPr>
      <w:r w:rsidRPr="00B01C92">
        <w:rPr>
          <w:rFonts w:ascii="Segoe UI Emoji" w:hAnsi="Segoe UI Emoji" w:cs="Segoe UI Emoji"/>
          <w:b/>
          <w:bCs/>
        </w:rPr>
        <w:t>🔹</w:t>
      </w:r>
      <w:r w:rsidRPr="00B01C92">
        <w:rPr>
          <w:b/>
          <w:bCs/>
        </w:rPr>
        <w:t xml:space="preserve"> Food Security</w:t>
      </w:r>
    </w:p>
    <w:p w14:paraId="495B1FCD" w14:textId="77777777" w:rsidR="00B01C92" w:rsidRPr="00B01C92" w:rsidRDefault="00B01C92" w:rsidP="00A67190">
      <w:pPr>
        <w:numPr>
          <w:ilvl w:val="0"/>
          <w:numId w:val="8"/>
        </w:numPr>
        <w:jc w:val="both"/>
        <w:rPr>
          <w:lang w:val="en-US"/>
        </w:rPr>
      </w:pPr>
      <w:r w:rsidRPr="00B01C92">
        <w:rPr>
          <w:lang w:val="en-US"/>
        </w:rPr>
        <w:t>Engage with organizations dedicated to food systems and support efforts to meet the nutritional needs of growing populations.</w:t>
      </w:r>
    </w:p>
    <w:p w14:paraId="47DFDC21" w14:textId="77777777" w:rsidR="00B01C92" w:rsidRPr="00B01C92" w:rsidRDefault="00B01C92" w:rsidP="00A67190">
      <w:pPr>
        <w:jc w:val="both"/>
        <w:rPr>
          <w:b/>
          <w:bCs/>
        </w:rPr>
      </w:pPr>
      <w:r w:rsidRPr="00B01C92">
        <w:rPr>
          <w:rFonts w:ascii="Segoe UI Emoji" w:hAnsi="Segoe UI Emoji" w:cs="Segoe UI Emoji"/>
          <w:b/>
          <w:bCs/>
        </w:rPr>
        <w:t>🔹</w:t>
      </w:r>
      <w:r w:rsidRPr="00B01C92">
        <w:rPr>
          <w:b/>
          <w:bCs/>
        </w:rPr>
        <w:t xml:space="preserve"> Climate-Smart Agriculture</w:t>
      </w:r>
    </w:p>
    <w:p w14:paraId="720CC3F7" w14:textId="77777777" w:rsidR="00B01C92" w:rsidRPr="00B01C92" w:rsidRDefault="00B01C92" w:rsidP="00A67190">
      <w:pPr>
        <w:numPr>
          <w:ilvl w:val="0"/>
          <w:numId w:val="9"/>
        </w:numPr>
        <w:jc w:val="both"/>
        <w:rPr>
          <w:lang w:val="en-US"/>
        </w:rPr>
      </w:pPr>
      <w:r w:rsidRPr="00B01C92">
        <w:rPr>
          <w:lang w:val="en-US"/>
        </w:rPr>
        <w:t>Help introduce sustainable farming practices that promote soil health, water conservation, and climate resilience.</w:t>
      </w:r>
    </w:p>
    <w:p w14:paraId="6EC6BCBC" w14:textId="77777777" w:rsidR="00B01C92" w:rsidRPr="00B01C92" w:rsidRDefault="00B01C92" w:rsidP="00A67190">
      <w:pPr>
        <w:jc w:val="both"/>
        <w:rPr>
          <w:b/>
          <w:bCs/>
        </w:rPr>
      </w:pPr>
      <w:r w:rsidRPr="00B01C92">
        <w:rPr>
          <w:rFonts w:ascii="Segoe UI Emoji" w:hAnsi="Segoe UI Emoji" w:cs="Segoe UI Emoji"/>
          <w:b/>
          <w:bCs/>
        </w:rPr>
        <w:t>🔹</w:t>
      </w:r>
      <w:r w:rsidRPr="00B01C92">
        <w:rPr>
          <w:b/>
          <w:bCs/>
        </w:rPr>
        <w:t xml:space="preserve"> Technology &amp; Innovation</w:t>
      </w:r>
    </w:p>
    <w:p w14:paraId="5943689D" w14:textId="77777777" w:rsidR="00B01C92" w:rsidRPr="00B01C92" w:rsidRDefault="00B01C92" w:rsidP="00A67190">
      <w:pPr>
        <w:numPr>
          <w:ilvl w:val="0"/>
          <w:numId w:val="10"/>
        </w:numPr>
        <w:jc w:val="both"/>
        <w:rPr>
          <w:lang w:val="en-US"/>
        </w:rPr>
      </w:pPr>
      <w:r w:rsidRPr="00B01C92">
        <w:rPr>
          <w:lang w:val="en-US"/>
        </w:rPr>
        <w:t>Promote the adoption of agricultural technologies tailored to local contexts, particularly in African settings.</w:t>
      </w:r>
    </w:p>
    <w:p w14:paraId="0A1133AB" w14:textId="77777777" w:rsidR="00B01C92" w:rsidRPr="00B01C92" w:rsidRDefault="00B01C92" w:rsidP="00A67190">
      <w:pPr>
        <w:jc w:val="both"/>
        <w:rPr>
          <w:b/>
          <w:bCs/>
        </w:rPr>
      </w:pPr>
      <w:r w:rsidRPr="00B01C92">
        <w:rPr>
          <w:rFonts w:ascii="Segoe UI Emoji" w:hAnsi="Segoe UI Emoji" w:cs="Segoe UI Emoji"/>
          <w:b/>
          <w:bCs/>
        </w:rPr>
        <w:t>🔹</w:t>
      </w:r>
      <w:r w:rsidRPr="00B01C92">
        <w:rPr>
          <w:b/>
          <w:bCs/>
        </w:rPr>
        <w:t xml:space="preserve"> Networking &amp; Visibility</w:t>
      </w:r>
    </w:p>
    <w:p w14:paraId="50F7D86C" w14:textId="77777777" w:rsidR="00B01C92" w:rsidRPr="00B01C92" w:rsidRDefault="00B01C92" w:rsidP="00A67190">
      <w:pPr>
        <w:numPr>
          <w:ilvl w:val="0"/>
          <w:numId w:val="11"/>
        </w:numPr>
        <w:jc w:val="both"/>
        <w:rPr>
          <w:lang w:val="en-US"/>
        </w:rPr>
      </w:pPr>
      <w:r w:rsidRPr="00B01C92">
        <w:rPr>
          <w:lang w:val="en-US"/>
        </w:rPr>
        <w:t>Use their platforms and connections to disseminate project results, share best practices, and broaden impact.</w:t>
      </w:r>
    </w:p>
    <w:p w14:paraId="36CAF4F3" w14:textId="1090D967" w:rsidR="00B01C92" w:rsidRPr="00B01C92" w:rsidRDefault="000B6F82" w:rsidP="00A67190">
      <w:pPr>
        <w:jc w:val="both"/>
      </w:pPr>
      <w:r>
        <w:rPr>
          <w:noProof/>
        </w:rPr>
        <w:pict w14:anchorId="5973B053">
          <v:rect id="_x0000_i1028" alt="" style="width:453.6pt;height:.05pt;mso-width-percent:0;mso-height-percent:0;mso-width-percent:0;mso-height-percent:0" o:hralign="center" o:hrstd="t" o:hr="t" fillcolor="#a0a0a0" stroked="f"/>
        </w:pict>
      </w:r>
    </w:p>
    <w:p w14:paraId="2323D8C2" w14:textId="7A0F819C" w:rsidR="00B01C92" w:rsidRPr="00B01C92" w:rsidRDefault="00EE5882" w:rsidP="00A67190">
      <w:pPr>
        <w:jc w:val="both"/>
        <w:rPr>
          <w:b/>
          <w:bCs/>
        </w:rPr>
      </w:pPr>
      <w:r>
        <w:rPr>
          <w:b/>
          <w:bCs/>
        </w:rPr>
        <w:t>4</w:t>
      </w:r>
      <w:r w:rsidR="00B01C92" w:rsidRPr="00B01C92">
        <w:rPr>
          <w:b/>
          <w:bCs/>
        </w:rPr>
        <w:t>. Summary: Key Characteristics of FoPs</w:t>
      </w:r>
    </w:p>
    <w:p w14:paraId="313F5315" w14:textId="77777777" w:rsidR="00B01C92" w:rsidRPr="00B01C92" w:rsidRDefault="00B01C92" w:rsidP="00A67190">
      <w:pPr>
        <w:numPr>
          <w:ilvl w:val="0"/>
          <w:numId w:val="16"/>
        </w:numPr>
        <w:jc w:val="both"/>
        <w:rPr>
          <w:lang w:val="en-US"/>
        </w:rPr>
      </w:pPr>
      <w:r w:rsidRPr="00B01C92">
        <w:rPr>
          <w:b/>
          <w:bCs/>
          <w:lang w:val="en-US"/>
        </w:rPr>
        <w:t>Not formal project partners</w:t>
      </w:r>
      <w:r w:rsidRPr="00B01C92">
        <w:rPr>
          <w:lang w:val="en-US"/>
        </w:rPr>
        <w:t>, but trusted external collaborators</w:t>
      </w:r>
    </w:p>
    <w:p w14:paraId="656326D7" w14:textId="77777777" w:rsidR="00B01C92" w:rsidRPr="00B01C92" w:rsidRDefault="00B01C92" w:rsidP="00A67190">
      <w:pPr>
        <w:numPr>
          <w:ilvl w:val="0"/>
          <w:numId w:val="16"/>
        </w:numPr>
        <w:jc w:val="both"/>
        <w:rPr>
          <w:lang w:val="en-US"/>
        </w:rPr>
      </w:pPr>
      <w:r w:rsidRPr="00B01C92">
        <w:rPr>
          <w:b/>
          <w:bCs/>
          <w:lang w:val="en-US"/>
        </w:rPr>
        <w:t>Support via networks, knowledge, funding, and communication channels</w:t>
      </w:r>
    </w:p>
    <w:p w14:paraId="27D5FA9F" w14:textId="77777777" w:rsidR="00B01C92" w:rsidRPr="00B01C92" w:rsidRDefault="00B01C92" w:rsidP="00A67190">
      <w:pPr>
        <w:numPr>
          <w:ilvl w:val="0"/>
          <w:numId w:val="16"/>
        </w:numPr>
        <w:jc w:val="both"/>
      </w:pPr>
      <w:r w:rsidRPr="00B01C92">
        <w:t>Include stakeholders such as:</w:t>
      </w:r>
    </w:p>
    <w:p w14:paraId="56FC6A8B" w14:textId="77777777" w:rsidR="00B01C92" w:rsidRPr="00B01C92" w:rsidRDefault="00B01C92" w:rsidP="00A67190">
      <w:pPr>
        <w:numPr>
          <w:ilvl w:val="1"/>
          <w:numId w:val="16"/>
        </w:numPr>
        <w:jc w:val="both"/>
      </w:pPr>
      <w:r w:rsidRPr="00B01C92">
        <w:t>Executive leaders</w:t>
      </w:r>
    </w:p>
    <w:p w14:paraId="2C904CF6" w14:textId="77777777" w:rsidR="00B01C92" w:rsidRPr="00B01C92" w:rsidRDefault="00B01C92" w:rsidP="00A67190">
      <w:pPr>
        <w:numPr>
          <w:ilvl w:val="1"/>
          <w:numId w:val="16"/>
        </w:numPr>
        <w:jc w:val="both"/>
      </w:pPr>
      <w:r w:rsidRPr="00B01C92">
        <w:t>Policymakers</w:t>
      </w:r>
    </w:p>
    <w:p w14:paraId="36E53383" w14:textId="77777777" w:rsidR="00B01C92" w:rsidRPr="00B01C92" w:rsidRDefault="00B01C92" w:rsidP="00A67190">
      <w:pPr>
        <w:numPr>
          <w:ilvl w:val="1"/>
          <w:numId w:val="16"/>
        </w:numPr>
        <w:jc w:val="both"/>
      </w:pPr>
      <w:r w:rsidRPr="00B01C92">
        <w:t>NGOs</w:t>
      </w:r>
    </w:p>
    <w:p w14:paraId="11F600A2" w14:textId="77777777" w:rsidR="00B01C92" w:rsidRPr="00B01C92" w:rsidRDefault="00B01C92" w:rsidP="00A67190">
      <w:pPr>
        <w:numPr>
          <w:ilvl w:val="1"/>
          <w:numId w:val="16"/>
        </w:numPr>
        <w:jc w:val="both"/>
      </w:pPr>
      <w:r w:rsidRPr="00B01C92">
        <w:t>Alumni</w:t>
      </w:r>
    </w:p>
    <w:p w14:paraId="25830ABD" w14:textId="77777777" w:rsidR="00B01C92" w:rsidRPr="00B01C92" w:rsidRDefault="00B01C92" w:rsidP="00A67190">
      <w:pPr>
        <w:numPr>
          <w:ilvl w:val="1"/>
          <w:numId w:val="16"/>
        </w:numPr>
        <w:jc w:val="both"/>
      </w:pPr>
      <w:r w:rsidRPr="00B01C92">
        <w:t>Farmers and end-users</w:t>
      </w:r>
    </w:p>
    <w:p w14:paraId="2F3FBDDE" w14:textId="77777777" w:rsidR="00B01C92" w:rsidRPr="00B01C92" w:rsidRDefault="00B01C92" w:rsidP="00A67190">
      <w:pPr>
        <w:numPr>
          <w:ilvl w:val="1"/>
          <w:numId w:val="16"/>
        </w:numPr>
        <w:jc w:val="both"/>
      </w:pPr>
      <w:r w:rsidRPr="00B01C92">
        <w:t>Academic institutions</w:t>
      </w:r>
    </w:p>
    <w:p w14:paraId="3B63B2E2" w14:textId="77777777" w:rsidR="00B01C92" w:rsidRPr="00B01C92" w:rsidRDefault="00B01C92" w:rsidP="00A67190">
      <w:pPr>
        <w:numPr>
          <w:ilvl w:val="1"/>
          <w:numId w:val="16"/>
        </w:numPr>
        <w:jc w:val="both"/>
      </w:pPr>
      <w:r w:rsidRPr="00B01C92">
        <w:t>Media organizations</w:t>
      </w:r>
    </w:p>
    <w:p w14:paraId="7AD25BA5" w14:textId="77777777" w:rsidR="00B01C92" w:rsidRPr="00B01C92" w:rsidRDefault="00B01C92" w:rsidP="00A67190">
      <w:pPr>
        <w:numPr>
          <w:ilvl w:val="0"/>
          <w:numId w:val="16"/>
        </w:numPr>
        <w:jc w:val="both"/>
        <w:rPr>
          <w:lang w:val="en-US"/>
        </w:rPr>
      </w:pPr>
      <w:r w:rsidRPr="00B01C92">
        <w:rPr>
          <w:lang w:val="en-US"/>
        </w:rPr>
        <w:t>Help expand the project's reach, amplify its message, and deepen its impact</w:t>
      </w:r>
    </w:p>
    <w:p w14:paraId="7312B715" w14:textId="77777777" w:rsidR="00B01C92" w:rsidRPr="00B01C92" w:rsidRDefault="000B6F82" w:rsidP="00A67190">
      <w:pPr>
        <w:jc w:val="both"/>
      </w:pPr>
      <w:r>
        <w:rPr>
          <w:noProof/>
        </w:rPr>
        <w:lastRenderedPageBreak/>
        <w:pict w14:anchorId="2859BE52">
          <v:rect id="_x0000_i1029" alt="" style="width:453.6pt;height:.05pt;mso-width-percent:0;mso-height-percent:0;mso-width-percent:0;mso-height-percent:0" o:hralign="center" o:hrstd="t" o:hr="t" fillcolor="#a0a0a0" stroked="f"/>
        </w:pict>
      </w:r>
    </w:p>
    <w:p w14:paraId="3006A16F" w14:textId="65A6E531" w:rsidR="00B01C92" w:rsidRPr="00B01C92" w:rsidRDefault="00EE5882" w:rsidP="00A67190">
      <w:pPr>
        <w:jc w:val="both"/>
        <w:rPr>
          <w:b/>
          <w:bCs/>
          <w:lang w:val="en-US"/>
        </w:rPr>
      </w:pPr>
      <w:r>
        <w:rPr>
          <w:b/>
          <w:bCs/>
          <w:lang w:val="en-US"/>
        </w:rPr>
        <w:t>5</w:t>
      </w:r>
      <w:r w:rsidR="00B01C92" w:rsidRPr="00B01C92">
        <w:rPr>
          <w:b/>
          <w:bCs/>
          <w:lang w:val="en-US"/>
        </w:rPr>
        <w:t>. Benefits of Being an AGRI-MOCKS Friend of the Project</w:t>
      </w:r>
    </w:p>
    <w:p w14:paraId="096BDC18" w14:textId="77777777" w:rsidR="00B01C92" w:rsidRPr="00B01C92" w:rsidRDefault="00B01C92" w:rsidP="00A67190">
      <w:pPr>
        <w:jc w:val="both"/>
        <w:rPr>
          <w:lang w:val="en-US"/>
        </w:rPr>
      </w:pPr>
      <w:r w:rsidRPr="00B01C92">
        <w:rPr>
          <w:lang w:val="en-US"/>
        </w:rPr>
        <w:t>By becoming a Friend of AGRI-MOCKS, supporters gain:</w:t>
      </w:r>
    </w:p>
    <w:p w14:paraId="09E7441D" w14:textId="77777777" w:rsidR="00B01C92" w:rsidRPr="00B01C92" w:rsidRDefault="00B01C92" w:rsidP="00A67190">
      <w:pPr>
        <w:numPr>
          <w:ilvl w:val="0"/>
          <w:numId w:val="17"/>
        </w:numPr>
        <w:jc w:val="both"/>
        <w:rPr>
          <w:lang w:val="en-US"/>
        </w:rPr>
      </w:pPr>
      <w:r w:rsidRPr="00B01C92">
        <w:rPr>
          <w:b/>
          <w:bCs/>
          <w:lang w:val="en-US"/>
        </w:rPr>
        <w:t>An active role</w:t>
      </w:r>
      <w:r w:rsidRPr="00B01C92">
        <w:rPr>
          <w:lang w:val="en-US"/>
        </w:rPr>
        <w:t xml:space="preserve"> in shaping the future of agricultural education and rural development</w:t>
      </w:r>
    </w:p>
    <w:p w14:paraId="082CB347" w14:textId="77777777" w:rsidR="00B01C92" w:rsidRPr="00B01C92" w:rsidRDefault="00B01C92" w:rsidP="00A67190">
      <w:pPr>
        <w:numPr>
          <w:ilvl w:val="0"/>
          <w:numId w:val="17"/>
        </w:numPr>
        <w:jc w:val="both"/>
        <w:rPr>
          <w:lang w:val="en-US"/>
        </w:rPr>
      </w:pPr>
      <w:r w:rsidRPr="00B01C92">
        <w:rPr>
          <w:b/>
          <w:bCs/>
          <w:lang w:val="en-US"/>
        </w:rPr>
        <w:t>Early and exclusive access</w:t>
      </w:r>
      <w:r w:rsidRPr="00B01C92">
        <w:rPr>
          <w:lang w:val="en-US"/>
        </w:rPr>
        <w:t xml:space="preserve"> to project outcomes, materials, and opportunities</w:t>
      </w:r>
    </w:p>
    <w:p w14:paraId="35E65ABF" w14:textId="77777777" w:rsidR="00B01C92" w:rsidRPr="00B01C92" w:rsidRDefault="00B01C92" w:rsidP="00A67190">
      <w:pPr>
        <w:numPr>
          <w:ilvl w:val="0"/>
          <w:numId w:val="17"/>
        </w:numPr>
        <w:jc w:val="both"/>
        <w:rPr>
          <w:lang w:val="en-US"/>
        </w:rPr>
      </w:pPr>
      <w:r w:rsidRPr="00B01C92">
        <w:rPr>
          <w:b/>
          <w:bCs/>
          <w:lang w:val="en-US"/>
        </w:rPr>
        <w:t>Networking opportunities</w:t>
      </w:r>
      <w:r w:rsidRPr="00B01C92">
        <w:rPr>
          <w:lang w:val="en-US"/>
        </w:rPr>
        <w:t xml:space="preserve"> with a diverse and influential community of stakeholders</w:t>
      </w:r>
    </w:p>
    <w:p w14:paraId="613434D1" w14:textId="77777777" w:rsidR="00B01C92" w:rsidRPr="00B01C92" w:rsidRDefault="00B01C92" w:rsidP="00A67190">
      <w:pPr>
        <w:numPr>
          <w:ilvl w:val="0"/>
          <w:numId w:val="17"/>
        </w:numPr>
        <w:jc w:val="both"/>
        <w:rPr>
          <w:lang w:val="en-US"/>
        </w:rPr>
      </w:pPr>
      <w:r w:rsidRPr="00B01C92">
        <w:rPr>
          <w:b/>
          <w:bCs/>
          <w:lang w:val="en-US"/>
        </w:rPr>
        <w:t>Recognition</w:t>
      </w:r>
      <w:r w:rsidRPr="00B01C92">
        <w:rPr>
          <w:lang w:val="en-US"/>
        </w:rPr>
        <w:t xml:space="preserve"> for contributing to a project that fosters youth empowerment, climate action, and food security</w:t>
      </w:r>
    </w:p>
    <w:p w14:paraId="2ADB1131" w14:textId="77777777" w:rsidR="00B01C92" w:rsidRDefault="00B01C92" w:rsidP="00A67190">
      <w:pPr>
        <w:jc w:val="both"/>
        <w:rPr>
          <w:lang w:val="en-US"/>
        </w:rPr>
      </w:pPr>
      <w:r w:rsidRPr="00B01C92">
        <w:rPr>
          <w:lang w:val="en-US"/>
        </w:rPr>
        <w:t>Together, we are building resilient, knowledge-driven farming communities. Join us as a Friend of the Project and be part of that transformation.</w:t>
      </w:r>
    </w:p>
    <w:p w14:paraId="3280D94A" w14:textId="77777777" w:rsidR="00B102E6" w:rsidRDefault="00B102E6" w:rsidP="00A67190">
      <w:pPr>
        <w:jc w:val="both"/>
        <w:rPr>
          <w:lang w:val="en-US"/>
        </w:rPr>
      </w:pPr>
    </w:p>
    <w:p w14:paraId="12DA7E9B" w14:textId="548E0BB9" w:rsidR="00B102E6" w:rsidRPr="00B102E6" w:rsidRDefault="00EE5882" w:rsidP="00A67190">
      <w:pPr>
        <w:jc w:val="both"/>
        <w:rPr>
          <w:b/>
          <w:bCs/>
          <w:lang w:val="en-US"/>
        </w:rPr>
      </w:pPr>
      <w:r>
        <w:rPr>
          <w:b/>
          <w:bCs/>
          <w:lang w:val="en-US"/>
        </w:rPr>
        <w:t>6</w:t>
      </w:r>
      <w:r w:rsidR="00B102E6">
        <w:rPr>
          <w:b/>
          <w:bCs/>
          <w:lang w:val="en-US"/>
        </w:rPr>
        <w:t xml:space="preserve">. </w:t>
      </w:r>
      <w:r w:rsidR="00B102E6" w:rsidRPr="00B102E6">
        <w:rPr>
          <w:b/>
          <w:bCs/>
          <w:lang w:val="en-US"/>
        </w:rPr>
        <w:t xml:space="preserve">Cooperation principles. </w:t>
      </w:r>
    </w:p>
    <w:p w14:paraId="31702E20" w14:textId="7AA20878" w:rsidR="00B102E6" w:rsidRPr="00B01C92" w:rsidRDefault="00B102E6" w:rsidP="00A67190">
      <w:pPr>
        <w:jc w:val="both"/>
        <w:rPr>
          <w:lang w:val="en-US"/>
        </w:rPr>
      </w:pPr>
      <w:r>
        <w:rPr>
          <w:lang w:val="en-US"/>
        </w:rPr>
        <w:t>T</w:t>
      </w:r>
      <w:r w:rsidRPr="00B102E6">
        <w:rPr>
          <w:lang w:val="en-US"/>
        </w:rPr>
        <w:t xml:space="preserve">heir engagement is voluntary, that the </w:t>
      </w:r>
      <w:r w:rsidRPr="00B102E6">
        <w:rPr>
          <w:b/>
          <w:bCs/>
          <w:lang w:val="en-US"/>
        </w:rPr>
        <w:t>FoP</w:t>
      </w:r>
      <w:r w:rsidRPr="00B102E6">
        <w:rPr>
          <w:lang w:val="en-US"/>
        </w:rPr>
        <w:t xml:space="preserve"> work is collaborative and that we expect teamwork and networking, that the </w:t>
      </w:r>
      <w:r w:rsidRPr="00B102E6">
        <w:rPr>
          <w:b/>
          <w:bCs/>
          <w:lang w:val="en-US"/>
        </w:rPr>
        <w:t>FoP</w:t>
      </w:r>
      <w:r w:rsidRPr="00B102E6">
        <w:rPr>
          <w:lang w:val="en-US"/>
        </w:rPr>
        <w:t xml:space="preserve"> is a framework that characterizes an intersectoral approach, and that they should be open to each other, but also to other stakeholders and the public when it comes to the exchange of ideas and our project.</w:t>
      </w:r>
    </w:p>
    <w:p w14:paraId="5C4A701B" w14:textId="262F19EE" w:rsidR="00B01C92" w:rsidRPr="00B01C92" w:rsidRDefault="00684BD6" w:rsidP="00A67190">
      <w:pPr>
        <w:jc w:val="both"/>
        <w:rPr>
          <w:lang w:val="en-US"/>
        </w:rPr>
      </w:pPr>
      <w:r>
        <w:rPr>
          <w:b/>
          <w:bCs/>
          <w:noProof/>
          <w:lang w:val="en-US"/>
        </w:rPr>
        <w:drawing>
          <wp:anchor distT="0" distB="0" distL="114300" distR="114300" simplePos="0" relativeHeight="251658240" behindDoc="0" locked="0" layoutInCell="1" allowOverlap="1" wp14:anchorId="78028CEF" wp14:editId="64AE9EEC">
            <wp:simplePos x="0" y="0"/>
            <wp:positionH relativeFrom="margin">
              <wp:align>center</wp:align>
            </wp:positionH>
            <wp:positionV relativeFrom="paragraph">
              <wp:posOffset>2272665</wp:posOffset>
            </wp:positionV>
            <wp:extent cx="1724266" cy="1790950"/>
            <wp:effectExtent l="0" t="0" r="9525" b="0"/>
            <wp:wrapSquare wrapText="bothSides"/>
            <wp:docPr id="15939363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36337" name="Grafik 1593936337"/>
                    <pic:cNvPicPr/>
                  </pic:nvPicPr>
                  <pic:blipFill>
                    <a:blip r:embed="rId6">
                      <a:extLst>
                        <a:ext uri="{28A0092B-C50C-407E-A947-70E740481C1C}">
                          <a14:useLocalDpi xmlns:a14="http://schemas.microsoft.com/office/drawing/2010/main" val="0"/>
                        </a:ext>
                      </a:extLst>
                    </a:blip>
                    <a:stretch>
                      <a:fillRect/>
                    </a:stretch>
                  </pic:blipFill>
                  <pic:spPr>
                    <a:xfrm>
                      <a:off x="0" y="0"/>
                      <a:ext cx="1724266" cy="1790950"/>
                    </a:xfrm>
                    <a:prstGeom prst="rect">
                      <a:avLst/>
                    </a:prstGeom>
                  </pic:spPr>
                </pic:pic>
              </a:graphicData>
            </a:graphic>
            <wp14:sizeRelH relativeFrom="page">
              <wp14:pctWidth>0</wp14:pctWidth>
            </wp14:sizeRelH>
            <wp14:sizeRelV relativeFrom="page">
              <wp14:pctHeight>0</wp14:pctHeight>
            </wp14:sizeRelV>
          </wp:anchor>
        </w:drawing>
      </w:r>
    </w:p>
    <w:sectPr w:rsidR="00B01C92" w:rsidRPr="00B01C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478"/>
    <w:multiLevelType w:val="multilevel"/>
    <w:tmpl w:val="1F12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93993"/>
    <w:multiLevelType w:val="multilevel"/>
    <w:tmpl w:val="EB04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43F55"/>
    <w:multiLevelType w:val="multilevel"/>
    <w:tmpl w:val="AE36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D72BE"/>
    <w:multiLevelType w:val="multilevel"/>
    <w:tmpl w:val="4B28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80F9B"/>
    <w:multiLevelType w:val="multilevel"/>
    <w:tmpl w:val="DA08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94C66"/>
    <w:multiLevelType w:val="multilevel"/>
    <w:tmpl w:val="479A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028A8"/>
    <w:multiLevelType w:val="multilevel"/>
    <w:tmpl w:val="F9D0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C3B86"/>
    <w:multiLevelType w:val="multilevel"/>
    <w:tmpl w:val="62F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473B4"/>
    <w:multiLevelType w:val="multilevel"/>
    <w:tmpl w:val="FE54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D7A98"/>
    <w:multiLevelType w:val="multilevel"/>
    <w:tmpl w:val="E324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B09E0"/>
    <w:multiLevelType w:val="multilevel"/>
    <w:tmpl w:val="1D8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5939EF"/>
    <w:multiLevelType w:val="multilevel"/>
    <w:tmpl w:val="845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12940"/>
    <w:multiLevelType w:val="multilevel"/>
    <w:tmpl w:val="4A4E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47A33"/>
    <w:multiLevelType w:val="multilevel"/>
    <w:tmpl w:val="AD3E9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F4C9C"/>
    <w:multiLevelType w:val="multilevel"/>
    <w:tmpl w:val="8584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C414F"/>
    <w:multiLevelType w:val="multilevel"/>
    <w:tmpl w:val="65C8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E1EBE"/>
    <w:multiLevelType w:val="multilevel"/>
    <w:tmpl w:val="4E04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952833">
    <w:abstractNumId w:val="11"/>
  </w:num>
  <w:num w:numId="2" w16cid:durableId="2094735351">
    <w:abstractNumId w:val="8"/>
  </w:num>
  <w:num w:numId="3" w16cid:durableId="1509638537">
    <w:abstractNumId w:val="0"/>
  </w:num>
  <w:num w:numId="4" w16cid:durableId="1247107540">
    <w:abstractNumId w:val="16"/>
  </w:num>
  <w:num w:numId="5" w16cid:durableId="1878547523">
    <w:abstractNumId w:val="12"/>
  </w:num>
  <w:num w:numId="6" w16cid:durableId="1363555770">
    <w:abstractNumId w:val="6"/>
  </w:num>
  <w:num w:numId="7" w16cid:durableId="828985741">
    <w:abstractNumId w:val="15"/>
  </w:num>
  <w:num w:numId="8" w16cid:durableId="703604525">
    <w:abstractNumId w:val="9"/>
  </w:num>
  <w:num w:numId="9" w16cid:durableId="496918587">
    <w:abstractNumId w:val="3"/>
  </w:num>
  <w:num w:numId="10" w16cid:durableId="218366402">
    <w:abstractNumId w:val="1"/>
  </w:num>
  <w:num w:numId="11" w16cid:durableId="486945363">
    <w:abstractNumId w:val="4"/>
  </w:num>
  <w:num w:numId="12" w16cid:durableId="2128161930">
    <w:abstractNumId w:val="7"/>
  </w:num>
  <w:num w:numId="13" w16cid:durableId="1160737209">
    <w:abstractNumId w:val="10"/>
  </w:num>
  <w:num w:numId="14" w16cid:durableId="299578196">
    <w:abstractNumId w:val="2"/>
  </w:num>
  <w:num w:numId="15" w16cid:durableId="21176447">
    <w:abstractNumId w:val="14"/>
  </w:num>
  <w:num w:numId="16" w16cid:durableId="845097460">
    <w:abstractNumId w:val="13"/>
  </w:num>
  <w:num w:numId="17" w16cid:durableId="1822503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92"/>
    <w:rsid w:val="000B6F82"/>
    <w:rsid w:val="00172C1C"/>
    <w:rsid w:val="0019008B"/>
    <w:rsid w:val="00192C99"/>
    <w:rsid w:val="001D5AE3"/>
    <w:rsid w:val="00220BB5"/>
    <w:rsid w:val="00684BD6"/>
    <w:rsid w:val="00722198"/>
    <w:rsid w:val="0074776F"/>
    <w:rsid w:val="007D316C"/>
    <w:rsid w:val="00A67190"/>
    <w:rsid w:val="00A847ED"/>
    <w:rsid w:val="00B01C92"/>
    <w:rsid w:val="00B102E6"/>
    <w:rsid w:val="00E363BD"/>
    <w:rsid w:val="00EE5882"/>
    <w:rsid w:val="00F1082E"/>
    <w:rsid w:val="00FB2EB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BD3374A"/>
  <w15:chartTrackingRefBased/>
  <w15:docId w15:val="{4A90D9F4-82FF-4334-B8CD-8BE0184D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1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1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1C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1C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1C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1C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1C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1C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1C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1C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1C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1C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1C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1C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1C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1C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1C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1C92"/>
    <w:rPr>
      <w:rFonts w:eastAsiaTheme="majorEastAsia" w:cstheme="majorBidi"/>
      <w:color w:val="272727" w:themeColor="text1" w:themeTint="D8"/>
    </w:rPr>
  </w:style>
  <w:style w:type="paragraph" w:styleId="Titel">
    <w:name w:val="Title"/>
    <w:basedOn w:val="Standard"/>
    <w:next w:val="Standard"/>
    <w:link w:val="TitelZchn"/>
    <w:uiPriority w:val="10"/>
    <w:qFormat/>
    <w:rsid w:val="00B01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1C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1C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1C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1C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1C92"/>
    <w:rPr>
      <w:i/>
      <w:iCs/>
      <w:color w:val="404040" w:themeColor="text1" w:themeTint="BF"/>
    </w:rPr>
  </w:style>
  <w:style w:type="paragraph" w:styleId="Listenabsatz">
    <w:name w:val="List Paragraph"/>
    <w:basedOn w:val="Standard"/>
    <w:uiPriority w:val="34"/>
    <w:qFormat/>
    <w:rsid w:val="00B01C92"/>
    <w:pPr>
      <w:ind w:left="720"/>
      <w:contextualSpacing/>
    </w:pPr>
  </w:style>
  <w:style w:type="character" w:styleId="IntensiveHervorhebung">
    <w:name w:val="Intense Emphasis"/>
    <w:basedOn w:val="Absatz-Standardschriftart"/>
    <w:uiPriority w:val="21"/>
    <w:qFormat/>
    <w:rsid w:val="00B01C92"/>
    <w:rPr>
      <w:i/>
      <w:iCs/>
      <w:color w:val="0F4761" w:themeColor="accent1" w:themeShade="BF"/>
    </w:rPr>
  </w:style>
  <w:style w:type="paragraph" w:styleId="IntensivesZitat">
    <w:name w:val="Intense Quote"/>
    <w:basedOn w:val="Standard"/>
    <w:next w:val="Standard"/>
    <w:link w:val="IntensivesZitatZchn"/>
    <w:uiPriority w:val="30"/>
    <w:qFormat/>
    <w:rsid w:val="00B01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1C92"/>
    <w:rPr>
      <w:i/>
      <w:iCs/>
      <w:color w:val="0F4761" w:themeColor="accent1" w:themeShade="BF"/>
    </w:rPr>
  </w:style>
  <w:style w:type="character" w:styleId="IntensiverVerweis">
    <w:name w:val="Intense Reference"/>
    <w:basedOn w:val="Absatz-Standardschriftart"/>
    <w:uiPriority w:val="32"/>
    <w:qFormat/>
    <w:rsid w:val="00B01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4022">
      <w:bodyDiv w:val="1"/>
      <w:marLeft w:val="0"/>
      <w:marRight w:val="0"/>
      <w:marTop w:val="0"/>
      <w:marBottom w:val="0"/>
      <w:divBdr>
        <w:top w:val="none" w:sz="0" w:space="0" w:color="auto"/>
        <w:left w:val="none" w:sz="0" w:space="0" w:color="auto"/>
        <w:bottom w:val="none" w:sz="0" w:space="0" w:color="auto"/>
        <w:right w:val="none" w:sz="0" w:space="0" w:color="auto"/>
      </w:divBdr>
    </w:div>
    <w:div w:id="1298602936">
      <w:bodyDiv w:val="1"/>
      <w:marLeft w:val="0"/>
      <w:marRight w:val="0"/>
      <w:marTop w:val="0"/>
      <w:marBottom w:val="0"/>
      <w:divBdr>
        <w:top w:val="none" w:sz="0" w:space="0" w:color="auto"/>
        <w:left w:val="none" w:sz="0" w:space="0" w:color="auto"/>
        <w:bottom w:val="none" w:sz="0" w:space="0" w:color="auto"/>
        <w:right w:val="none" w:sz="0" w:space="0" w:color="auto"/>
      </w:divBdr>
    </w:div>
    <w:div w:id="134705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3024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HSWT</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hswt</dc:creator>
  <cp:keywords/>
  <dc:description/>
  <cp:lastModifiedBy>hswt</cp:lastModifiedBy>
  <cp:revision>2</cp:revision>
  <dcterms:created xsi:type="dcterms:W3CDTF">2025-06-20T09:02:00Z</dcterms:created>
  <dcterms:modified xsi:type="dcterms:W3CDTF">2025-06-20T09:02:00Z</dcterms:modified>
</cp:coreProperties>
</file>