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22BE6" w14:textId="77777777" w:rsidR="00705079" w:rsidRDefault="00705079" w:rsidP="00B92E39">
      <w:pPr>
        <w:pStyle w:val="Title"/>
        <w:jc w:val="both"/>
        <w:rPr>
          <w:rFonts w:cstheme="majorHAnsi"/>
          <w:lang w:val="en-GB"/>
        </w:rPr>
      </w:pPr>
    </w:p>
    <w:p w14:paraId="39766C06" w14:textId="77777777" w:rsidR="00A247B1" w:rsidRDefault="00A247B1" w:rsidP="00A247B1">
      <w:pPr>
        <w:rPr>
          <w:lang w:val="en-GB"/>
        </w:rPr>
      </w:pPr>
    </w:p>
    <w:p w14:paraId="16E778A6" w14:textId="77777777" w:rsidR="00A247B1" w:rsidRDefault="00A247B1" w:rsidP="00A247B1">
      <w:pPr>
        <w:rPr>
          <w:lang w:val="en-GB"/>
        </w:rPr>
      </w:pPr>
    </w:p>
    <w:p w14:paraId="761D451D" w14:textId="4A68310F" w:rsidR="00A247B1" w:rsidRPr="00A247B1" w:rsidRDefault="00A247B1" w:rsidP="00A247B1">
      <w:pPr>
        <w:jc w:val="center"/>
        <w:rPr>
          <w:rFonts w:ascii="Arial" w:hAnsi="Arial" w:cs="Arial"/>
          <w:sz w:val="24"/>
          <w:szCs w:val="24"/>
          <w:lang w:val="en-GB"/>
        </w:rPr>
      </w:pPr>
      <w:r w:rsidRPr="00A247B1">
        <w:rPr>
          <w:rFonts w:ascii="Arial" w:hAnsi="Arial" w:cs="Arial"/>
          <w:sz w:val="24"/>
          <w:szCs w:val="24"/>
        </w:rPr>
        <w:t>Project No.: 101193598— AGRI-MOCKS — ERASMUS-EDU-2024-VIRT-EXCH</w:t>
      </w:r>
    </w:p>
    <w:p w14:paraId="56EE0F5B" w14:textId="77777777" w:rsidR="00A247B1" w:rsidRDefault="00A247B1" w:rsidP="00A247B1">
      <w:pPr>
        <w:rPr>
          <w:lang w:val="en-GB"/>
        </w:rPr>
      </w:pPr>
    </w:p>
    <w:p w14:paraId="15D6F4DC" w14:textId="77777777" w:rsidR="00A247B1" w:rsidRPr="00A247B1" w:rsidRDefault="00A247B1" w:rsidP="00A247B1">
      <w:pPr>
        <w:rPr>
          <w:lang w:val="en-GB"/>
        </w:rPr>
      </w:pPr>
    </w:p>
    <w:p w14:paraId="6CDA0E94" w14:textId="04205958" w:rsidR="004679EF" w:rsidRDefault="00BE1B12" w:rsidP="00A247B1">
      <w:pPr>
        <w:pStyle w:val="Title"/>
        <w:jc w:val="center"/>
        <w:rPr>
          <w:rFonts w:cstheme="majorHAnsi"/>
          <w:lang w:val="en-GB"/>
        </w:rPr>
      </w:pPr>
      <w:r>
        <w:rPr>
          <w:rFonts w:cstheme="majorHAnsi"/>
          <w:lang w:val="en-GB"/>
        </w:rPr>
        <w:t>Taskforce Report</w:t>
      </w:r>
    </w:p>
    <w:p w14:paraId="2010791D" w14:textId="0CBE8C93" w:rsidR="00BE1B12" w:rsidRDefault="00BE1B12" w:rsidP="00BE1B12">
      <w:pPr>
        <w:jc w:val="center"/>
        <w:rPr>
          <w:rFonts w:ascii="Arial" w:hAnsi="Arial" w:cs="Arial"/>
          <w:sz w:val="24"/>
          <w:szCs w:val="24"/>
        </w:rPr>
      </w:pPr>
      <w:r w:rsidRPr="00BE1B12">
        <w:rPr>
          <w:rFonts w:ascii="Arial" w:hAnsi="Arial" w:cs="Arial"/>
          <w:sz w:val="24"/>
          <w:szCs w:val="24"/>
        </w:rPr>
        <w:t>Twin transition in agriculture and rural development</w:t>
      </w:r>
      <w:r w:rsidR="00F455C0">
        <w:rPr>
          <w:rFonts w:ascii="Arial" w:hAnsi="Arial" w:cs="Arial"/>
          <w:sz w:val="24"/>
          <w:szCs w:val="24"/>
        </w:rPr>
        <w:t>,</w:t>
      </w:r>
      <w:r w:rsidRPr="00BE1B12">
        <w:rPr>
          <w:rFonts w:ascii="Arial" w:hAnsi="Arial" w:cs="Arial"/>
          <w:sz w:val="24"/>
          <w:szCs w:val="24"/>
        </w:rPr>
        <w:t xml:space="preserve"> education</w:t>
      </w:r>
      <w:r w:rsidR="00F455C0">
        <w:rPr>
          <w:rFonts w:ascii="Arial" w:hAnsi="Arial" w:cs="Arial"/>
          <w:sz w:val="24"/>
          <w:szCs w:val="24"/>
        </w:rPr>
        <w:t>,</w:t>
      </w:r>
      <w:r w:rsidRPr="00BE1B12">
        <w:rPr>
          <w:rFonts w:ascii="Arial" w:hAnsi="Arial" w:cs="Arial"/>
          <w:sz w:val="24"/>
          <w:szCs w:val="24"/>
        </w:rPr>
        <w:t xml:space="preserve"> and training</w:t>
      </w:r>
    </w:p>
    <w:p w14:paraId="2481C681" w14:textId="165E5226" w:rsidR="00BE1B12" w:rsidRPr="00BE1B12" w:rsidRDefault="00BE1B12" w:rsidP="00BE1B12">
      <w:pPr>
        <w:jc w:val="center"/>
        <w:rPr>
          <w:rFonts w:ascii="Arial" w:hAnsi="Arial" w:cs="Arial"/>
          <w:b/>
          <w:bCs/>
          <w:sz w:val="24"/>
          <w:szCs w:val="24"/>
        </w:rPr>
      </w:pPr>
      <w:r>
        <w:rPr>
          <w:rFonts w:ascii="Arial" w:hAnsi="Arial" w:cs="Arial"/>
          <w:sz w:val="24"/>
          <w:szCs w:val="24"/>
        </w:rPr>
        <w:t xml:space="preserve">Focus country: </w:t>
      </w:r>
      <w:r w:rsidR="00493447">
        <w:rPr>
          <w:rFonts w:ascii="Arial" w:hAnsi="Arial" w:cs="Arial"/>
          <w:sz w:val="24"/>
          <w:szCs w:val="24"/>
        </w:rPr>
        <w:t xml:space="preserve">Ethiopia </w:t>
      </w:r>
    </w:p>
    <w:p w14:paraId="76FF1673" w14:textId="77777777" w:rsidR="00BE1B12" w:rsidRPr="00BE1B12" w:rsidRDefault="00BE1B12" w:rsidP="00BE1B12"/>
    <w:p w14:paraId="523DF47B" w14:textId="77777777" w:rsidR="00BE1B12" w:rsidRPr="00BE1B12" w:rsidRDefault="00BE1B12" w:rsidP="00BE1B12">
      <w:pPr>
        <w:rPr>
          <w:lang w:val="en-GB"/>
        </w:rPr>
      </w:pPr>
    </w:p>
    <w:p w14:paraId="174AB3C5" w14:textId="3B2FD197" w:rsidR="00A247B1" w:rsidRDefault="00A247B1" w:rsidP="00A247B1">
      <w:pPr>
        <w:rPr>
          <w:lang w:val="en-GB"/>
        </w:rPr>
      </w:pPr>
    </w:p>
    <w:p w14:paraId="6FA5CD58" w14:textId="77777777" w:rsidR="00A247B1" w:rsidRDefault="00A247B1" w:rsidP="00A247B1">
      <w:pPr>
        <w:rPr>
          <w:lang w:val="en-GB"/>
        </w:rPr>
      </w:pPr>
    </w:p>
    <w:p w14:paraId="57529BF1" w14:textId="406EA7A5" w:rsidR="00A247B1" w:rsidRPr="00A247B1" w:rsidRDefault="00493447" w:rsidP="00A247B1">
      <w:pPr>
        <w:jc w:val="center"/>
        <w:rPr>
          <w:rFonts w:ascii="Arial" w:hAnsi="Arial" w:cs="Arial"/>
          <w:sz w:val="24"/>
          <w:szCs w:val="24"/>
          <w:lang w:val="en-GB"/>
        </w:rPr>
      </w:pPr>
      <w:r>
        <w:rPr>
          <w:rFonts w:ascii="Arial" w:hAnsi="Arial" w:cs="Arial"/>
          <w:sz w:val="24"/>
          <w:szCs w:val="24"/>
          <w:lang w:val="en-GB"/>
        </w:rPr>
        <w:t>June</w:t>
      </w:r>
      <w:r w:rsidR="00A247B1" w:rsidRPr="00A247B1">
        <w:rPr>
          <w:rFonts w:ascii="Arial" w:hAnsi="Arial" w:cs="Arial"/>
          <w:sz w:val="24"/>
          <w:szCs w:val="24"/>
          <w:lang w:val="en-GB"/>
        </w:rPr>
        <w:t xml:space="preserve"> 2025</w:t>
      </w:r>
    </w:p>
    <w:p w14:paraId="0D024748" w14:textId="77777777" w:rsidR="009B2239" w:rsidRDefault="009B2239" w:rsidP="006A3CAE"/>
    <w:p w14:paraId="59F6D061" w14:textId="77777777" w:rsidR="009B2239" w:rsidRPr="00BE1B12" w:rsidRDefault="009B2239" w:rsidP="009B2239"/>
    <w:p w14:paraId="5245E0FF" w14:textId="77777777" w:rsidR="00A247B1" w:rsidRPr="00BE1B12" w:rsidRDefault="00A247B1" w:rsidP="009B2239"/>
    <w:p w14:paraId="5F2956EC" w14:textId="77777777" w:rsidR="00A247B1" w:rsidRPr="00BE1B12" w:rsidRDefault="00A247B1" w:rsidP="009B2239"/>
    <w:p w14:paraId="0DF669B6" w14:textId="77777777" w:rsidR="00A247B1" w:rsidRPr="00BE1B12" w:rsidRDefault="00A247B1" w:rsidP="009B2239"/>
    <w:p w14:paraId="1F888B4F" w14:textId="77777777" w:rsidR="00A247B1" w:rsidRPr="00BE1B12" w:rsidRDefault="00A247B1" w:rsidP="009B2239"/>
    <w:p w14:paraId="27331FBC" w14:textId="0252A575" w:rsidR="00F455C0" w:rsidRDefault="00A247B1" w:rsidP="00F455C0">
      <w:pPr>
        <w:rPr>
          <w:rFonts w:ascii="Arial" w:hAnsi="Arial" w:cs="Arial"/>
          <w:sz w:val="24"/>
          <w:szCs w:val="24"/>
        </w:rPr>
      </w:pPr>
      <w:r w:rsidRPr="00BE1B12">
        <w:rPr>
          <w:rFonts w:ascii="Arial" w:hAnsi="Arial" w:cs="Arial"/>
          <w:sz w:val="24"/>
          <w:szCs w:val="24"/>
        </w:rPr>
        <w:t>Author</w:t>
      </w:r>
      <w:r w:rsidR="00BE1B12">
        <w:rPr>
          <w:rFonts w:ascii="Arial" w:hAnsi="Arial" w:cs="Arial"/>
          <w:sz w:val="24"/>
          <w:szCs w:val="24"/>
        </w:rPr>
        <w:t>/s</w:t>
      </w:r>
      <w:r w:rsidRPr="00BE1B12">
        <w:rPr>
          <w:rFonts w:ascii="Arial" w:hAnsi="Arial" w:cs="Arial"/>
          <w:sz w:val="24"/>
          <w:szCs w:val="24"/>
        </w:rPr>
        <w:t>:</w:t>
      </w:r>
      <w:r w:rsidR="00F455C0">
        <w:rPr>
          <w:rFonts w:ascii="Arial" w:hAnsi="Arial" w:cs="Arial"/>
          <w:sz w:val="24"/>
          <w:szCs w:val="24"/>
        </w:rPr>
        <w:t xml:space="preserve"> </w:t>
      </w:r>
      <w:proofErr w:type="spellStart"/>
      <w:r w:rsidR="00F455C0" w:rsidRPr="00493447">
        <w:rPr>
          <w:rFonts w:ascii="Arial" w:hAnsi="Arial" w:cs="Arial"/>
          <w:sz w:val="24"/>
          <w:szCs w:val="24"/>
        </w:rPr>
        <w:t>Yitna</w:t>
      </w:r>
      <w:proofErr w:type="spellEnd"/>
      <w:r w:rsidR="00F455C0" w:rsidRPr="00493447">
        <w:rPr>
          <w:rFonts w:ascii="Arial" w:hAnsi="Arial" w:cs="Arial"/>
          <w:sz w:val="24"/>
          <w:szCs w:val="24"/>
        </w:rPr>
        <w:t xml:space="preserve"> T</w:t>
      </w:r>
      <w:r w:rsidR="00F455C0">
        <w:rPr>
          <w:rFonts w:ascii="Arial" w:hAnsi="Arial" w:cs="Arial"/>
          <w:sz w:val="24"/>
          <w:szCs w:val="24"/>
        </w:rPr>
        <w:t xml:space="preserve">.| </w:t>
      </w:r>
      <w:proofErr w:type="spellStart"/>
      <w:r w:rsidR="00F455C0">
        <w:rPr>
          <w:rFonts w:ascii="Arial" w:hAnsi="Arial" w:cs="Arial"/>
          <w:sz w:val="24"/>
          <w:szCs w:val="24"/>
        </w:rPr>
        <w:t>Anbes</w:t>
      </w:r>
      <w:proofErr w:type="spellEnd"/>
      <w:r w:rsidR="00F455C0">
        <w:rPr>
          <w:rFonts w:ascii="Arial" w:hAnsi="Arial" w:cs="Arial"/>
          <w:sz w:val="24"/>
          <w:szCs w:val="24"/>
        </w:rPr>
        <w:t xml:space="preserve"> T. | </w:t>
      </w:r>
      <w:proofErr w:type="spellStart"/>
      <w:r w:rsidR="00F455C0">
        <w:rPr>
          <w:rFonts w:ascii="Arial" w:hAnsi="Arial" w:cs="Arial"/>
          <w:sz w:val="24"/>
          <w:szCs w:val="24"/>
        </w:rPr>
        <w:t>Tirusew</w:t>
      </w:r>
      <w:proofErr w:type="spellEnd"/>
      <w:r w:rsidR="00F455C0">
        <w:rPr>
          <w:rFonts w:ascii="Arial" w:hAnsi="Arial" w:cs="Arial"/>
          <w:sz w:val="24"/>
          <w:szCs w:val="24"/>
        </w:rPr>
        <w:t xml:space="preserve"> T. </w:t>
      </w:r>
      <w:r w:rsidR="00F455C0" w:rsidRPr="00493447">
        <w:rPr>
          <w:rFonts w:ascii="Arial" w:hAnsi="Arial" w:cs="Arial"/>
          <w:sz w:val="24"/>
          <w:szCs w:val="24"/>
        </w:rPr>
        <w:t xml:space="preserve">– </w:t>
      </w:r>
      <w:proofErr w:type="spellStart"/>
      <w:r w:rsidR="00F455C0" w:rsidRPr="00493447">
        <w:rPr>
          <w:rFonts w:ascii="Arial" w:hAnsi="Arial" w:cs="Arial"/>
          <w:sz w:val="24"/>
          <w:szCs w:val="24"/>
        </w:rPr>
        <w:t>Hawassa</w:t>
      </w:r>
      <w:proofErr w:type="spellEnd"/>
      <w:r w:rsidR="00F455C0" w:rsidRPr="00493447">
        <w:rPr>
          <w:rFonts w:ascii="Arial" w:hAnsi="Arial" w:cs="Arial"/>
          <w:sz w:val="24"/>
          <w:szCs w:val="24"/>
        </w:rPr>
        <w:t xml:space="preserve"> University, </w:t>
      </w:r>
      <w:proofErr w:type="spellStart"/>
      <w:r w:rsidR="00F455C0">
        <w:rPr>
          <w:rFonts w:ascii="Arial" w:hAnsi="Arial" w:cs="Arial"/>
          <w:sz w:val="24"/>
          <w:szCs w:val="24"/>
        </w:rPr>
        <w:t>Tsigereda</w:t>
      </w:r>
      <w:proofErr w:type="spellEnd"/>
      <w:r w:rsidR="00F455C0">
        <w:rPr>
          <w:rFonts w:ascii="Arial" w:hAnsi="Arial" w:cs="Arial"/>
          <w:sz w:val="24"/>
          <w:szCs w:val="24"/>
        </w:rPr>
        <w:t xml:space="preserve"> W. | </w:t>
      </w:r>
      <w:proofErr w:type="spellStart"/>
      <w:r w:rsidR="00F455C0">
        <w:rPr>
          <w:rFonts w:ascii="Arial" w:hAnsi="Arial" w:cs="Arial"/>
          <w:sz w:val="24"/>
          <w:szCs w:val="24"/>
        </w:rPr>
        <w:t>Abreham</w:t>
      </w:r>
      <w:proofErr w:type="spellEnd"/>
      <w:r w:rsidR="00F455C0">
        <w:rPr>
          <w:rFonts w:ascii="Arial" w:hAnsi="Arial" w:cs="Arial"/>
          <w:sz w:val="24"/>
          <w:szCs w:val="24"/>
        </w:rPr>
        <w:t xml:space="preserve"> A.</w:t>
      </w:r>
      <w:r w:rsidR="00F455C0" w:rsidRPr="00493447">
        <w:rPr>
          <w:rFonts w:ascii="Arial" w:hAnsi="Arial" w:cs="Arial"/>
          <w:sz w:val="24"/>
          <w:szCs w:val="24"/>
        </w:rPr>
        <w:t xml:space="preserve"> – </w:t>
      </w:r>
      <w:r w:rsidR="00F455C0">
        <w:rPr>
          <w:rFonts w:ascii="Arial" w:hAnsi="Arial" w:cs="Arial"/>
          <w:sz w:val="24"/>
          <w:szCs w:val="24"/>
        </w:rPr>
        <w:t>EDI</w:t>
      </w:r>
    </w:p>
    <w:p w14:paraId="31560E28" w14:textId="6F5526BE" w:rsidR="00BE1B12" w:rsidRDefault="00BE1B12" w:rsidP="00EA2222">
      <w:pPr>
        <w:rPr>
          <w:rFonts w:ascii="Arial" w:hAnsi="Arial" w:cs="Arial"/>
          <w:sz w:val="24"/>
          <w:szCs w:val="24"/>
        </w:rPr>
      </w:pPr>
    </w:p>
    <w:p w14:paraId="740742E3" w14:textId="77777777" w:rsidR="00BE1B12" w:rsidRDefault="00BE1B12" w:rsidP="00EA2222">
      <w:pPr>
        <w:rPr>
          <w:rFonts w:ascii="Arial" w:hAnsi="Arial" w:cs="Arial"/>
          <w:sz w:val="24"/>
          <w:szCs w:val="24"/>
        </w:rPr>
      </w:pPr>
    </w:p>
    <w:p w14:paraId="46AB26CC" w14:textId="77777777" w:rsidR="006A3CAE" w:rsidRDefault="006A3CAE" w:rsidP="00EA2222">
      <w:pPr>
        <w:rPr>
          <w:rFonts w:ascii="Arial" w:hAnsi="Arial" w:cs="Arial"/>
          <w:sz w:val="24"/>
          <w:szCs w:val="24"/>
        </w:rPr>
      </w:pPr>
    </w:p>
    <w:p w14:paraId="28C13D8F" w14:textId="157714E5" w:rsidR="00BE1B12" w:rsidRDefault="00BE1B12" w:rsidP="00EA2222">
      <w:pPr>
        <w:rPr>
          <w:rFonts w:ascii="Arial" w:hAnsi="Arial" w:cs="Arial"/>
          <w:sz w:val="24"/>
          <w:szCs w:val="24"/>
        </w:rPr>
      </w:pPr>
      <w:r>
        <w:rPr>
          <w:rFonts w:ascii="Arial" w:hAnsi="Arial" w:cs="Arial"/>
          <w:sz w:val="24"/>
          <w:szCs w:val="24"/>
        </w:rPr>
        <w:t>Table of Contents:</w:t>
      </w:r>
    </w:p>
    <w:p w14:paraId="71F80DC1" w14:textId="22257722" w:rsidR="00554678" w:rsidRDefault="00BE1B12" w:rsidP="00554678">
      <w:pPr>
        <w:pStyle w:val="TOC1"/>
        <w:rPr>
          <w:noProof/>
        </w:rPr>
      </w:pPr>
      <w:r>
        <w:rPr>
          <w:rFonts w:ascii="Arial" w:hAnsi="Arial" w:cs="Arial"/>
          <w:sz w:val="24"/>
          <w:szCs w:val="24"/>
        </w:rPr>
        <w:fldChar w:fldCharType="begin"/>
      </w:r>
      <w:r>
        <w:rPr>
          <w:rFonts w:ascii="Arial" w:hAnsi="Arial" w:cs="Arial"/>
          <w:sz w:val="24"/>
          <w:szCs w:val="24"/>
        </w:rPr>
        <w:instrText xml:space="preserve"> TOC \o "1-3" \h \z \u </w:instrText>
      </w:r>
      <w:r>
        <w:rPr>
          <w:rFonts w:ascii="Arial" w:hAnsi="Arial" w:cs="Arial"/>
          <w:sz w:val="24"/>
          <w:szCs w:val="24"/>
        </w:rPr>
        <w:fldChar w:fldCharType="separate"/>
      </w:r>
      <w:hyperlink w:anchor="_Toc200701870" w:history="1">
        <w:r w:rsidR="00554678" w:rsidRPr="006460B5">
          <w:rPr>
            <w:rStyle w:val="Hyperlink"/>
            <w:rFonts w:ascii="Arial" w:hAnsi="Arial" w:cs="Arial"/>
            <w:noProof/>
            <w:lang w:val="en-GB"/>
          </w:rPr>
          <w:t>1.</w:t>
        </w:r>
        <w:r w:rsidR="00554678">
          <w:rPr>
            <w:noProof/>
          </w:rPr>
          <w:tab/>
        </w:r>
        <w:r w:rsidR="00554678" w:rsidRPr="006460B5">
          <w:rPr>
            <w:rStyle w:val="Hyperlink"/>
            <w:rFonts w:ascii="Arial" w:hAnsi="Arial" w:cs="Arial"/>
            <w:noProof/>
            <w:lang w:val="en-GB"/>
          </w:rPr>
          <w:t>Taskforce members</w:t>
        </w:r>
        <w:r w:rsidR="00554678">
          <w:rPr>
            <w:noProof/>
            <w:webHidden/>
          </w:rPr>
          <w:tab/>
        </w:r>
        <w:r w:rsidR="00554678">
          <w:rPr>
            <w:noProof/>
            <w:webHidden/>
          </w:rPr>
          <w:fldChar w:fldCharType="begin"/>
        </w:r>
        <w:r w:rsidR="00554678">
          <w:rPr>
            <w:noProof/>
            <w:webHidden/>
          </w:rPr>
          <w:instrText xml:space="preserve"> PAGEREF _Toc200701870 \h </w:instrText>
        </w:r>
        <w:r w:rsidR="00554678">
          <w:rPr>
            <w:noProof/>
            <w:webHidden/>
          </w:rPr>
        </w:r>
        <w:r w:rsidR="00554678">
          <w:rPr>
            <w:noProof/>
            <w:webHidden/>
          </w:rPr>
          <w:fldChar w:fldCharType="separate"/>
        </w:r>
        <w:r w:rsidR="00554678">
          <w:rPr>
            <w:noProof/>
            <w:webHidden/>
          </w:rPr>
          <w:t>3</w:t>
        </w:r>
        <w:r w:rsidR="00554678">
          <w:rPr>
            <w:noProof/>
            <w:webHidden/>
          </w:rPr>
          <w:fldChar w:fldCharType="end"/>
        </w:r>
      </w:hyperlink>
    </w:p>
    <w:p w14:paraId="5434A0F8" w14:textId="2842C098" w:rsidR="00554678" w:rsidRDefault="00554678" w:rsidP="00554678">
      <w:pPr>
        <w:pStyle w:val="TOC1"/>
        <w:rPr>
          <w:noProof/>
        </w:rPr>
      </w:pPr>
      <w:hyperlink w:anchor="_Toc200701871" w:history="1">
        <w:r w:rsidRPr="006460B5">
          <w:rPr>
            <w:rStyle w:val="Hyperlink"/>
            <w:rFonts w:ascii="Arial" w:hAnsi="Arial" w:cs="Arial"/>
            <w:noProof/>
            <w:lang w:val="en-GB"/>
          </w:rPr>
          <w:t>2.</w:t>
        </w:r>
        <w:r>
          <w:rPr>
            <w:noProof/>
          </w:rPr>
          <w:tab/>
        </w:r>
        <w:r w:rsidRPr="006460B5">
          <w:rPr>
            <w:rStyle w:val="Hyperlink"/>
            <w:rFonts w:ascii="Arial" w:hAnsi="Arial" w:cs="Arial"/>
            <w:noProof/>
            <w:lang w:val="en-GB"/>
          </w:rPr>
          <w:t>Introduction</w:t>
        </w:r>
        <w:r>
          <w:rPr>
            <w:noProof/>
            <w:webHidden/>
          </w:rPr>
          <w:tab/>
        </w:r>
        <w:r>
          <w:rPr>
            <w:noProof/>
            <w:webHidden/>
          </w:rPr>
          <w:fldChar w:fldCharType="begin"/>
        </w:r>
        <w:r>
          <w:rPr>
            <w:noProof/>
            <w:webHidden/>
          </w:rPr>
          <w:instrText xml:space="preserve"> PAGEREF _Toc200701871 \h </w:instrText>
        </w:r>
        <w:r>
          <w:rPr>
            <w:noProof/>
            <w:webHidden/>
          </w:rPr>
        </w:r>
        <w:r>
          <w:rPr>
            <w:noProof/>
            <w:webHidden/>
          </w:rPr>
          <w:fldChar w:fldCharType="separate"/>
        </w:r>
        <w:r>
          <w:rPr>
            <w:noProof/>
            <w:webHidden/>
          </w:rPr>
          <w:t>3</w:t>
        </w:r>
        <w:r>
          <w:rPr>
            <w:noProof/>
            <w:webHidden/>
          </w:rPr>
          <w:fldChar w:fldCharType="end"/>
        </w:r>
      </w:hyperlink>
    </w:p>
    <w:p w14:paraId="02102DAD" w14:textId="6E2C5E85" w:rsidR="00554678" w:rsidRDefault="00554678" w:rsidP="00554678">
      <w:pPr>
        <w:pStyle w:val="TOC1"/>
        <w:rPr>
          <w:noProof/>
        </w:rPr>
      </w:pPr>
      <w:hyperlink w:anchor="_Toc200701872" w:history="1">
        <w:r w:rsidRPr="006460B5">
          <w:rPr>
            <w:rStyle w:val="Hyperlink"/>
            <w:rFonts w:ascii="Arial" w:hAnsi="Arial" w:cs="Arial"/>
            <w:noProof/>
            <w:lang w:val="en-GB"/>
          </w:rPr>
          <w:t>3.</w:t>
        </w:r>
        <w:r>
          <w:rPr>
            <w:noProof/>
          </w:rPr>
          <w:tab/>
        </w:r>
        <w:r w:rsidRPr="006460B5">
          <w:rPr>
            <w:rStyle w:val="Hyperlink"/>
            <w:rFonts w:ascii="Arial" w:hAnsi="Arial" w:cs="Arial"/>
            <w:noProof/>
            <w:lang w:val="en-GB"/>
          </w:rPr>
          <w:t>Method of data collection</w:t>
        </w:r>
        <w:bookmarkStart w:id="0" w:name="_GoBack"/>
        <w:bookmarkEnd w:id="0"/>
        <w:r>
          <w:rPr>
            <w:noProof/>
            <w:webHidden/>
          </w:rPr>
          <w:tab/>
        </w:r>
        <w:r>
          <w:rPr>
            <w:noProof/>
            <w:webHidden/>
          </w:rPr>
          <w:fldChar w:fldCharType="begin"/>
        </w:r>
        <w:r>
          <w:rPr>
            <w:noProof/>
            <w:webHidden/>
          </w:rPr>
          <w:instrText xml:space="preserve"> PAGEREF _Toc200701872 \h </w:instrText>
        </w:r>
        <w:r>
          <w:rPr>
            <w:noProof/>
            <w:webHidden/>
          </w:rPr>
        </w:r>
        <w:r>
          <w:rPr>
            <w:noProof/>
            <w:webHidden/>
          </w:rPr>
          <w:fldChar w:fldCharType="separate"/>
        </w:r>
        <w:r>
          <w:rPr>
            <w:noProof/>
            <w:webHidden/>
          </w:rPr>
          <w:t>3</w:t>
        </w:r>
        <w:r>
          <w:rPr>
            <w:noProof/>
            <w:webHidden/>
          </w:rPr>
          <w:fldChar w:fldCharType="end"/>
        </w:r>
      </w:hyperlink>
    </w:p>
    <w:p w14:paraId="41B508AF" w14:textId="22218B30" w:rsidR="00554678" w:rsidRDefault="00554678" w:rsidP="00554678">
      <w:pPr>
        <w:pStyle w:val="TOC1"/>
        <w:rPr>
          <w:noProof/>
        </w:rPr>
      </w:pPr>
      <w:hyperlink w:anchor="_Toc200701873" w:history="1">
        <w:r w:rsidRPr="006460B5">
          <w:rPr>
            <w:rStyle w:val="Hyperlink"/>
            <w:rFonts w:ascii="Arial" w:hAnsi="Arial" w:cs="Arial"/>
            <w:noProof/>
            <w:lang w:val="en-GB"/>
          </w:rPr>
          <w:t>4.</w:t>
        </w:r>
        <w:r>
          <w:rPr>
            <w:noProof/>
          </w:rPr>
          <w:tab/>
        </w:r>
        <w:r w:rsidRPr="006460B5">
          <w:rPr>
            <w:rStyle w:val="Hyperlink"/>
            <w:rFonts w:ascii="Arial" w:hAnsi="Arial" w:cs="Arial"/>
            <w:noProof/>
            <w:lang w:val="en-GB"/>
          </w:rPr>
          <w:t>State of the Art in Ethiopia</w:t>
        </w:r>
        <w:r>
          <w:rPr>
            <w:noProof/>
            <w:webHidden/>
          </w:rPr>
          <w:tab/>
        </w:r>
        <w:r>
          <w:rPr>
            <w:noProof/>
            <w:webHidden/>
          </w:rPr>
          <w:fldChar w:fldCharType="begin"/>
        </w:r>
        <w:r>
          <w:rPr>
            <w:noProof/>
            <w:webHidden/>
          </w:rPr>
          <w:instrText xml:space="preserve"> PAGEREF _Toc200701873 \h </w:instrText>
        </w:r>
        <w:r>
          <w:rPr>
            <w:noProof/>
            <w:webHidden/>
          </w:rPr>
        </w:r>
        <w:r>
          <w:rPr>
            <w:noProof/>
            <w:webHidden/>
          </w:rPr>
          <w:fldChar w:fldCharType="separate"/>
        </w:r>
        <w:r>
          <w:rPr>
            <w:noProof/>
            <w:webHidden/>
          </w:rPr>
          <w:t>3</w:t>
        </w:r>
        <w:r>
          <w:rPr>
            <w:noProof/>
            <w:webHidden/>
          </w:rPr>
          <w:fldChar w:fldCharType="end"/>
        </w:r>
      </w:hyperlink>
    </w:p>
    <w:p w14:paraId="591AFC50" w14:textId="525E0820" w:rsidR="00554678" w:rsidRDefault="00554678" w:rsidP="00554678">
      <w:pPr>
        <w:pStyle w:val="TOC1"/>
        <w:rPr>
          <w:noProof/>
        </w:rPr>
      </w:pPr>
      <w:hyperlink w:anchor="_Toc200701874" w:history="1">
        <w:r w:rsidRPr="006460B5">
          <w:rPr>
            <w:rStyle w:val="Hyperlink"/>
            <w:rFonts w:ascii="Arial" w:hAnsi="Arial" w:cs="Arial"/>
            <w:noProof/>
            <w:lang w:val="en-GB"/>
          </w:rPr>
          <w:t>5.</w:t>
        </w:r>
        <w:r>
          <w:rPr>
            <w:noProof/>
          </w:rPr>
          <w:tab/>
        </w:r>
        <w:r w:rsidRPr="006460B5">
          <w:rPr>
            <w:rStyle w:val="Hyperlink"/>
            <w:rFonts w:ascii="Arial" w:hAnsi="Arial" w:cs="Arial"/>
            <w:noProof/>
            <w:lang w:val="en-GB"/>
          </w:rPr>
          <w:t>Opportunities for integration of Twin Transition in HE and youth trainings in Ethiopia</w:t>
        </w:r>
        <w:r>
          <w:rPr>
            <w:noProof/>
            <w:webHidden/>
          </w:rPr>
          <w:tab/>
        </w:r>
        <w:r>
          <w:rPr>
            <w:noProof/>
            <w:webHidden/>
          </w:rPr>
          <w:fldChar w:fldCharType="begin"/>
        </w:r>
        <w:r>
          <w:rPr>
            <w:noProof/>
            <w:webHidden/>
          </w:rPr>
          <w:instrText xml:space="preserve"> PAGEREF _Toc200701874 \h </w:instrText>
        </w:r>
        <w:r>
          <w:rPr>
            <w:noProof/>
            <w:webHidden/>
          </w:rPr>
        </w:r>
        <w:r>
          <w:rPr>
            <w:noProof/>
            <w:webHidden/>
          </w:rPr>
          <w:fldChar w:fldCharType="separate"/>
        </w:r>
        <w:r>
          <w:rPr>
            <w:noProof/>
            <w:webHidden/>
          </w:rPr>
          <w:t>5</w:t>
        </w:r>
        <w:r>
          <w:rPr>
            <w:noProof/>
            <w:webHidden/>
          </w:rPr>
          <w:fldChar w:fldCharType="end"/>
        </w:r>
      </w:hyperlink>
    </w:p>
    <w:p w14:paraId="7B4E78A1" w14:textId="38981FF7" w:rsidR="00554678" w:rsidRDefault="00554678" w:rsidP="00554678">
      <w:pPr>
        <w:pStyle w:val="TOC1"/>
        <w:rPr>
          <w:noProof/>
        </w:rPr>
      </w:pPr>
      <w:hyperlink w:anchor="_Toc200701875" w:history="1">
        <w:r w:rsidRPr="006460B5">
          <w:rPr>
            <w:rStyle w:val="Hyperlink"/>
            <w:rFonts w:ascii="Arial" w:hAnsi="Arial" w:cs="Arial"/>
            <w:noProof/>
            <w:lang w:val="en-GB"/>
          </w:rPr>
          <w:t>6.</w:t>
        </w:r>
        <w:r>
          <w:rPr>
            <w:noProof/>
          </w:rPr>
          <w:tab/>
        </w:r>
        <w:r w:rsidRPr="006460B5">
          <w:rPr>
            <w:rStyle w:val="Hyperlink"/>
            <w:rFonts w:ascii="Arial" w:hAnsi="Arial" w:cs="Arial"/>
            <w:noProof/>
            <w:lang w:val="en-GB"/>
          </w:rPr>
          <w:t>Key conclusions and recommendations</w:t>
        </w:r>
        <w:r>
          <w:rPr>
            <w:noProof/>
            <w:webHidden/>
          </w:rPr>
          <w:tab/>
        </w:r>
        <w:r>
          <w:rPr>
            <w:noProof/>
            <w:webHidden/>
          </w:rPr>
          <w:fldChar w:fldCharType="begin"/>
        </w:r>
        <w:r>
          <w:rPr>
            <w:noProof/>
            <w:webHidden/>
          </w:rPr>
          <w:instrText xml:space="preserve"> PAGEREF _Toc200701875 \h </w:instrText>
        </w:r>
        <w:r>
          <w:rPr>
            <w:noProof/>
            <w:webHidden/>
          </w:rPr>
        </w:r>
        <w:r>
          <w:rPr>
            <w:noProof/>
            <w:webHidden/>
          </w:rPr>
          <w:fldChar w:fldCharType="separate"/>
        </w:r>
        <w:r>
          <w:rPr>
            <w:noProof/>
            <w:webHidden/>
          </w:rPr>
          <w:t>5</w:t>
        </w:r>
        <w:r>
          <w:rPr>
            <w:noProof/>
            <w:webHidden/>
          </w:rPr>
          <w:fldChar w:fldCharType="end"/>
        </w:r>
      </w:hyperlink>
    </w:p>
    <w:p w14:paraId="0C76A417" w14:textId="1E8BE2D7" w:rsidR="00554678" w:rsidRDefault="00554678" w:rsidP="00554678">
      <w:pPr>
        <w:pStyle w:val="TOC1"/>
        <w:rPr>
          <w:noProof/>
        </w:rPr>
      </w:pPr>
      <w:hyperlink w:anchor="_Toc200701876" w:history="1">
        <w:r w:rsidRPr="006460B5">
          <w:rPr>
            <w:rStyle w:val="Hyperlink"/>
            <w:rFonts w:ascii="Arial" w:hAnsi="Arial" w:cs="Arial"/>
            <w:noProof/>
            <w:lang w:val="en-GB"/>
          </w:rPr>
          <w:t>7.</w:t>
        </w:r>
        <w:r>
          <w:rPr>
            <w:noProof/>
          </w:rPr>
          <w:tab/>
        </w:r>
        <w:r w:rsidRPr="006460B5">
          <w:rPr>
            <w:rStyle w:val="Hyperlink"/>
            <w:rFonts w:ascii="Arial" w:hAnsi="Arial" w:cs="Arial"/>
            <w:noProof/>
            <w:lang w:val="en-GB"/>
          </w:rPr>
          <w:t>References and literature</w:t>
        </w:r>
        <w:r>
          <w:rPr>
            <w:noProof/>
            <w:webHidden/>
          </w:rPr>
          <w:tab/>
        </w:r>
        <w:r>
          <w:rPr>
            <w:noProof/>
            <w:webHidden/>
          </w:rPr>
          <w:fldChar w:fldCharType="begin"/>
        </w:r>
        <w:r>
          <w:rPr>
            <w:noProof/>
            <w:webHidden/>
          </w:rPr>
          <w:instrText xml:space="preserve"> PAGEREF _Toc200701876 \h </w:instrText>
        </w:r>
        <w:r>
          <w:rPr>
            <w:noProof/>
            <w:webHidden/>
          </w:rPr>
        </w:r>
        <w:r>
          <w:rPr>
            <w:noProof/>
            <w:webHidden/>
          </w:rPr>
          <w:fldChar w:fldCharType="separate"/>
        </w:r>
        <w:r>
          <w:rPr>
            <w:noProof/>
            <w:webHidden/>
          </w:rPr>
          <w:t>5</w:t>
        </w:r>
        <w:r>
          <w:rPr>
            <w:noProof/>
            <w:webHidden/>
          </w:rPr>
          <w:fldChar w:fldCharType="end"/>
        </w:r>
      </w:hyperlink>
    </w:p>
    <w:p w14:paraId="4ABC3116" w14:textId="0ED08E84" w:rsidR="006A3CAE" w:rsidRDefault="00BE1B12" w:rsidP="00EA2222">
      <w:pPr>
        <w:rPr>
          <w:rFonts w:ascii="Arial" w:hAnsi="Arial" w:cs="Arial"/>
          <w:sz w:val="24"/>
          <w:szCs w:val="24"/>
        </w:rPr>
      </w:pPr>
      <w:r>
        <w:rPr>
          <w:rFonts w:ascii="Arial" w:hAnsi="Arial" w:cs="Arial"/>
          <w:sz w:val="24"/>
          <w:szCs w:val="24"/>
        </w:rPr>
        <w:fldChar w:fldCharType="end"/>
      </w:r>
      <w:r w:rsidR="006A3CAE">
        <w:rPr>
          <w:rFonts w:ascii="Arial" w:hAnsi="Arial" w:cs="Arial"/>
          <w:sz w:val="24"/>
          <w:szCs w:val="24"/>
        </w:rPr>
        <w:br w:type="page"/>
      </w:r>
    </w:p>
    <w:p w14:paraId="71C73CF6" w14:textId="77777777" w:rsidR="00BE1B12" w:rsidRPr="00BE1B12" w:rsidRDefault="00BE1B12" w:rsidP="00EA2222">
      <w:pPr>
        <w:rPr>
          <w:rFonts w:ascii="Arial" w:hAnsi="Arial" w:cs="Arial"/>
          <w:sz w:val="24"/>
          <w:szCs w:val="24"/>
        </w:rPr>
      </w:pPr>
    </w:p>
    <w:p w14:paraId="5C7B1AC6" w14:textId="125C5405" w:rsidR="00BE1B12" w:rsidRDefault="00BE1B12" w:rsidP="00EA2222">
      <w:pPr>
        <w:pStyle w:val="Heading1"/>
        <w:numPr>
          <w:ilvl w:val="0"/>
          <w:numId w:val="26"/>
        </w:numPr>
        <w:spacing w:before="600"/>
        <w:ind w:left="357" w:hanging="357"/>
        <w:jc w:val="both"/>
        <w:rPr>
          <w:rFonts w:ascii="Arial" w:hAnsi="Arial" w:cs="Arial"/>
          <w:lang w:val="en-GB"/>
        </w:rPr>
      </w:pPr>
      <w:bookmarkStart w:id="1" w:name="_Toc200701870"/>
      <w:r>
        <w:rPr>
          <w:rFonts w:ascii="Arial" w:hAnsi="Arial" w:cs="Arial"/>
          <w:lang w:val="en-GB"/>
        </w:rPr>
        <w:t>Taskforce members</w:t>
      </w:r>
      <w:bookmarkEnd w:id="1"/>
    </w:p>
    <w:p w14:paraId="6420054B" w14:textId="77777777" w:rsidR="00F455C0" w:rsidRDefault="00F455C0" w:rsidP="00F455C0">
      <w:pPr>
        <w:rPr>
          <w:lang w:val="en-GB"/>
        </w:rPr>
      </w:pPr>
    </w:p>
    <w:p w14:paraId="6F05529E" w14:textId="4D9DC96D" w:rsidR="00F455C0" w:rsidRDefault="00F455C0" w:rsidP="00F455C0">
      <w:pPr>
        <w:rPr>
          <w:lang w:val="en-GB"/>
        </w:rPr>
      </w:pPr>
      <w:r>
        <w:rPr>
          <w:lang w:val="en-GB"/>
        </w:rPr>
        <w:t xml:space="preserve">(ETH) Mr. </w:t>
      </w:r>
      <w:proofErr w:type="spellStart"/>
      <w:r>
        <w:rPr>
          <w:lang w:val="en-GB"/>
        </w:rPr>
        <w:t>Yitna</w:t>
      </w:r>
      <w:proofErr w:type="spellEnd"/>
      <w:r>
        <w:rPr>
          <w:lang w:val="en-GB"/>
        </w:rPr>
        <w:t xml:space="preserve"> </w:t>
      </w:r>
      <w:proofErr w:type="spellStart"/>
      <w:r>
        <w:rPr>
          <w:lang w:val="en-GB"/>
        </w:rPr>
        <w:t>Tesfaye</w:t>
      </w:r>
      <w:proofErr w:type="spellEnd"/>
      <w:r>
        <w:rPr>
          <w:lang w:val="en-GB"/>
        </w:rPr>
        <w:t xml:space="preserve">, </w:t>
      </w:r>
      <w:proofErr w:type="spellStart"/>
      <w:r>
        <w:rPr>
          <w:lang w:val="en-GB"/>
        </w:rPr>
        <w:t>Abera</w:t>
      </w:r>
      <w:proofErr w:type="spellEnd"/>
      <w:r>
        <w:rPr>
          <w:lang w:val="en-GB"/>
        </w:rPr>
        <w:t xml:space="preserve"> </w:t>
      </w:r>
      <w:proofErr w:type="spellStart"/>
      <w:r>
        <w:rPr>
          <w:lang w:val="en-GB"/>
        </w:rPr>
        <w:t>Alemu</w:t>
      </w:r>
      <w:proofErr w:type="spellEnd"/>
      <w:r>
        <w:rPr>
          <w:lang w:val="en-GB"/>
        </w:rPr>
        <w:t xml:space="preserve"> &amp; Mr </w:t>
      </w:r>
      <w:proofErr w:type="spellStart"/>
      <w:r>
        <w:rPr>
          <w:lang w:val="en-GB"/>
        </w:rPr>
        <w:t>Tsigereda</w:t>
      </w:r>
      <w:proofErr w:type="spellEnd"/>
      <w:r>
        <w:rPr>
          <w:lang w:val="en-GB"/>
        </w:rPr>
        <w:t xml:space="preserve"> </w:t>
      </w:r>
      <w:proofErr w:type="spellStart"/>
      <w:r>
        <w:rPr>
          <w:lang w:val="en-GB"/>
        </w:rPr>
        <w:t>Woldemichael</w:t>
      </w:r>
      <w:proofErr w:type="spellEnd"/>
      <w:r>
        <w:rPr>
          <w:lang w:val="en-GB"/>
        </w:rPr>
        <w:t xml:space="preserve"> </w:t>
      </w:r>
    </w:p>
    <w:p w14:paraId="3FE36B3B" w14:textId="2732A1EF" w:rsidR="001E671D" w:rsidRDefault="00B84CE8" w:rsidP="00EA2222">
      <w:pPr>
        <w:pStyle w:val="Heading1"/>
        <w:numPr>
          <w:ilvl w:val="0"/>
          <w:numId w:val="26"/>
        </w:numPr>
        <w:spacing w:before="600"/>
        <w:ind w:left="357" w:hanging="357"/>
        <w:jc w:val="both"/>
        <w:rPr>
          <w:rFonts w:ascii="Arial" w:hAnsi="Arial" w:cs="Arial"/>
          <w:lang w:val="en-GB"/>
        </w:rPr>
      </w:pPr>
      <w:bookmarkStart w:id="2" w:name="_Toc200701871"/>
      <w:r w:rsidRPr="00EE5A72">
        <w:rPr>
          <w:rFonts w:ascii="Arial" w:hAnsi="Arial" w:cs="Arial"/>
          <w:lang w:val="en-GB"/>
        </w:rPr>
        <w:t>Introduction</w:t>
      </w:r>
      <w:bookmarkEnd w:id="2"/>
    </w:p>
    <w:p w14:paraId="56AFE435" w14:textId="7BC2D9D6" w:rsidR="007A011E" w:rsidRPr="007A011E" w:rsidRDefault="007A011E" w:rsidP="007A011E">
      <w:pPr>
        <w:jc w:val="both"/>
        <w:rPr>
          <w:rFonts w:ascii="Times New Roman" w:eastAsia="Times New Roman" w:hAnsi="Times New Roman" w:cs="Times New Roman"/>
          <w:sz w:val="24"/>
          <w:szCs w:val="24"/>
        </w:rPr>
      </w:pPr>
      <w:r w:rsidRPr="007A011E">
        <w:rPr>
          <w:rFonts w:ascii="Times New Roman" w:eastAsia="Times New Roman" w:hAnsi="Times New Roman" w:cs="Times New Roman"/>
          <w:sz w:val="24"/>
          <w:szCs w:val="24"/>
        </w:rPr>
        <w:t xml:space="preserve">This report </w:t>
      </w:r>
      <w:r>
        <w:rPr>
          <w:rFonts w:ascii="Times New Roman" w:eastAsia="Times New Roman" w:hAnsi="Times New Roman" w:cs="Times New Roman"/>
          <w:sz w:val="24"/>
          <w:szCs w:val="24"/>
        </w:rPr>
        <w:t>presents</w:t>
      </w:r>
      <w:r w:rsidRPr="007A011E">
        <w:rPr>
          <w:rFonts w:ascii="Times New Roman" w:eastAsia="Times New Roman" w:hAnsi="Times New Roman" w:cs="Times New Roman"/>
          <w:sz w:val="24"/>
          <w:szCs w:val="24"/>
        </w:rPr>
        <w:t xml:space="preserve"> the </w:t>
      </w:r>
      <w:r w:rsidRPr="007A011E">
        <w:rPr>
          <w:lang w:val="en-GB"/>
        </w:rPr>
        <w:t>integration</w:t>
      </w:r>
      <w:r w:rsidRPr="007A011E">
        <w:rPr>
          <w:rFonts w:ascii="Times New Roman" w:eastAsia="Times New Roman" w:hAnsi="Times New Roman" w:cs="Times New Roman"/>
          <w:sz w:val="24"/>
          <w:szCs w:val="24"/>
        </w:rPr>
        <w:t xml:space="preserve"> of environmenta</w:t>
      </w:r>
      <w:r>
        <w:rPr>
          <w:rFonts w:ascii="Times New Roman" w:eastAsia="Times New Roman" w:hAnsi="Times New Roman" w:cs="Times New Roman"/>
          <w:sz w:val="24"/>
          <w:szCs w:val="24"/>
        </w:rPr>
        <w:t>l and technological transitions-</w:t>
      </w:r>
      <w:r w:rsidRPr="007A011E">
        <w:rPr>
          <w:rFonts w:ascii="Times New Roman" w:eastAsia="Times New Roman" w:hAnsi="Times New Roman" w:cs="Times New Roman"/>
          <w:sz w:val="24"/>
          <w:szCs w:val="24"/>
        </w:rPr>
        <w:t>commonly referr</w:t>
      </w:r>
      <w:r>
        <w:rPr>
          <w:rFonts w:ascii="Times New Roman" w:eastAsia="Times New Roman" w:hAnsi="Times New Roman" w:cs="Times New Roman"/>
          <w:sz w:val="24"/>
          <w:szCs w:val="24"/>
        </w:rPr>
        <w:t>ed to as the "twin transitions"-</w:t>
      </w:r>
      <w:r w:rsidRPr="007A011E">
        <w:rPr>
          <w:rFonts w:ascii="Times New Roman" w:eastAsia="Times New Roman" w:hAnsi="Times New Roman" w:cs="Times New Roman"/>
          <w:sz w:val="24"/>
          <w:szCs w:val="24"/>
        </w:rPr>
        <w:t xml:space="preserve">within Ethiopia’s higher education (HE) and rural development sectors. It emphasizes the intersections of education reform, technological innovation, and sustainable rural entrepreneurship as critical drivers of Ethiopia’s sectoral growth. By mainstreaming green and digital competencies across curricula and practical training, the report aims to foster environmentally conscious and technologically empowered youth-led entrepreneurship, aligning with Ethiopia’s national development goals, including the </w:t>
      </w:r>
      <w:r w:rsidRPr="007A011E">
        <w:rPr>
          <w:rFonts w:ascii="Times New Roman" w:eastAsia="Times New Roman" w:hAnsi="Times New Roman" w:cs="Times New Roman"/>
          <w:i/>
          <w:iCs/>
          <w:sz w:val="24"/>
          <w:szCs w:val="24"/>
        </w:rPr>
        <w:t>Ten-Year Development Plan (2021–2030)</w:t>
      </w:r>
      <w:r w:rsidRPr="007A011E">
        <w:rPr>
          <w:rFonts w:ascii="Times New Roman" w:eastAsia="Times New Roman" w:hAnsi="Times New Roman" w:cs="Times New Roman"/>
          <w:sz w:val="24"/>
          <w:szCs w:val="24"/>
        </w:rPr>
        <w:t xml:space="preserve"> (NPC, 2021).</w:t>
      </w:r>
    </w:p>
    <w:p w14:paraId="05A3B976" w14:textId="49EF5135" w:rsidR="00BE1B12" w:rsidRPr="00BE1B12" w:rsidRDefault="00493447" w:rsidP="00F455C0">
      <w:pPr>
        <w:jc w:val="both"/>
        <w:rPr>
          <w:lang w:val="en-GB"/>
        </w:rPr>
      </w:pPr>
      <w:r w:rsidRPr="00493447">
        <w:rPr>
          <w:lang w:val="en-GB"/>
        </w:rPr>
        <w:t>The findings provide a</w:t>
      </w:r>
      <w:r w:rsidR="00F455C0">
        <w:rPr>
          <w:lang w:val="en-GB"/>
        </w:rPr>
        <w:t>n</w:t>
      </w:r>
      <w:r w:rsidRPr="00493447">
        <w:rPr>
          <w:lang w:val="en-GB"/>
        </w:rPr>
        <w:t xml:space="preserve"> understanding for identifying and mainstreaming green and digital competencies across curricula and practical training in rural settings. They also aim to promote environmentally conscious and technologically empowered youth-led entrepreneurship.</w:t>
      </w:r>
    </w:p>
    <w:p w14:paraId="5ABA0B68" w14:textId="15978751" w:rsidR="0093548E" w:rsidRDefault="0093548E" w:rsidP="00EE5A72">
      <w:pPr>
        <w:pStyle w:val="Heading1"/>
        <w:numPr>
          <w:ilvl w:val="0"/>
          <w:numId w:val="26"/>
        </w:numPr>
        <w:jc w:val="both"/>
        <w:rPr>
          <w:rFonts w:ascii="Arial" w:hAnsi="Arial" w:cs="Arial"/>
          <w:lang w:val="en-GB"/>
        </w:rPr>
      </w:pPr>
      <w:bookmarkStart w:id="3" w:name="_Toc200701872"/>
      <w:r>
        <w:rPr>
          <w:rFonts w:ascii="Arial" w:hAnsi="Arial" w:cs="Arial"/>
          <w:lang w:val="en-GB"/>
        </w:rPr>
        <w:t>Method of data collection</w:t>
      </w:r>
      <w:bookmarkEnd w:id="3"/>
    </w:p>
    <w:p w14:paraId="5794219B" w14:textId="5DAF8DC3" w:rsidR="00493447" w:rsidRPr="00493447" w:rsidRDefault="00493447" w:rsidP="00A3041F">
      <w:pPr>
        <w:jc w:val="both"/>
        <w:rPr>
          <w:lang w:val="de-DE"/>
        </w:rPr>
      </w:pPr>
      <w:r w:rsidRPr="00A3041F">
        <w:rPr>
          <w:rFonts w:ascii="Times New Roman" w:eastAsia="Times New Roman" w:hAnsi="Times New Roman" w:cs="Times New Roman"/>
          <w:sz w:val="24"/>
          <w:szCs w:val="24"/>
        </w:rPr>
        <w:t>The report draws on a combination of literature review, policy analysis, and expert consultations from Ethiopia. Key national policy documents including the Education and Training Policy (1994), the Ten-Year Development Plan (2021–2030), and recent digital and green economy strategies were analyzed</w:t>
      </w:r>
      <w:r w:rsidR="00A3041F" w:rsidRPr="00A3041F">
        <w:rPr>
          <w:rFonts w:ascii="Times New Roman" w:eastAsia="Times New Roman" w:hAnsi="Times New Roman" w:cs="Times New Roman"/>
          <w:sz w:val="24"/>
          <w:szCs w:val="24"/>
        </w:rPr>
        <w:t xml:space="preserve"> (</w:t>
      </w:r>
      <w:r w:rsidR="00A3041F" w:rsidRPr="00A3041F">
        <w:rPr>
          <w:rFonts w:ascii="Times New Roman" w:eastAsia="Times New Roman" w:hAnsi="Times New Roman" w:cs="Times New Roman"/>
          <w:sz w:val="24"/>
          <w:szCs w:val="24"/>
        </w:rPr>
        <w:t>the Planning and Development Commission of the Federal Democratic Republic of Ethiopia</w:t>
      </w:r>
      <w:r w:rsidR="00A3041F" w:rsidRPr="00A3041F">
        <w:rPr>
          <w:rFonts w:ascii="Times New Roman" w:eastAsia="Times New Roman" w:hAnsi="Times New Roman" w:cs="Times New Roman"/>
          <w:sz w:val="24"/>
          <w:szCs w:val="24"/>
        </w:rPr>
        <w:t>, 2020)</w:t>
      </w:r>
      <w:r w:rsidRPr="00A3041F">
        <w:rPr>
          <w:rFonts w:ascii="Times New Roman" w:eastAsia="Times New Roman" w:hAnsi="Times New Roman" w:cs="Times New Roman"/>
          <w:sz w:val="24"/>
          <w:szCs w:val="24"/>
        </w:rPr>
        <w:t>.</w:t>
      </w:r>
      <w:r w:rsidRPr="00493447">
        <w:rPr>
          <w:lang w:val="de-DE"/>
        </w:rPr>
        <w:t xml:space="preserve"> </w:t>
      </w:r>
      <w:r w:rsidR="00A3041F">
        <w:fldChar w:fldCharType="begin"/>
      </w:r>
      <w:r w:rsidR="00A3041F">
        <w:instrText xml:space="preserve"> HYPERLINK "file:///C:\\Users\\user\\Downloads\\ten_year_plan_popular_version.pdf" </w:instrText>
      </w:r>
      <w:r w:rsidR="00A3041F">
        <w:fldChar w:fldCharType="separate"/>
      </w:r>
      <w:r w:rsidR="00A3041F">
        <w:rPr>
          <w:rStyle w:val="Hyperlink"/>
        </w:rPr>
        <w:t>ten_year_plan_popular_version.pdf</w:t>
      </w:r>
      <w:r w:rsidR="00A3041F">
        <w:fldChar w:fldCharType="end"/>
      </w:r>
    </w:p>
    <w:p w14:paraId="13E62686" w14:textId="14749007" w:rsidR="00493447" w:rsidRPr="006A3CAE" w:rsidRDefault="00493447" w:rsidP="00493447">
      <w:pPr>
        <w:rPr>
          <w:lang w:val="de-DE"/>
        </w:rPr>
      </w:pPr>
      <w:r>
        <w:rPr>
          <w:lang w:val="de-DE"/>
        </w:rPr>
        <w:t>P</w:t>
      </w:r>
      <w:r w:rsidRPr="00493447">
        <w:rPr>
          <w:lang w:val="de-DE"/>
        </w:rPr>
        <w:t xml:space="preserve">ublications were reviewed, including the Ethiopian Digital Transformation Strategy (2020) and the </w:t>
      </w:r>
      <w:r>
        <w:rPr>
          <w:lang w:val="de-DE"/>
        </w:rPr>
        <w:t xml:space="preserve">Climate-Resilient Green Economy (CRGE) Strategy (FDRE, 2011), to ground the </w:t>
      </w:r>
      <w:r w:rsidRPr="00493447">
        <w:rPr>
          <w:lang w:val="de-DE"/>
        </w:rPr>
        <w:t>findings in current national frameworks.</w:t>
      </w:r>
    </w:p>
    <w:p w14:paraId="6879D164" w14:textId="4097ECD3" w:rsidR="00EE5A72" w:rsidRPr="00EE5A72" w:rsidRDefault="00BE1B12" w:rsidP="00EE5A72">
      <w:pPr>
        <w:pStyle w:val="Heading1"/>
        <w:numPr>
          <w:ilvl w:val="0"/>
          <w:numId w:val="26"/>
        </w:numPr>
        <w:jc w:val="both"/>
        <w:rPr>
          <w:rFonts w:ascii="Arial" w:hAnsi="Arial" w:cs="Arial"/>
          <w:lang w:val="en-GB"/>
        </w:rPr>
      </w:pPr>
      <w:bookmarkStart w:id="4" w:name="_Toc200701873"/>
      <w:r>
        <w:rPr>
          <w:rFonts w:ascii="Arial" w:hAnsi="Arial" w:cs="Arial"/>
          <w:lang w:val="en-GB"/>
        </w:rPr>
        <w:t xml:space="preserve">State of the Art in </w:t>
      </w:r>
      <w:r w:rsidR="00493447">
        <w:rPr>
          <w:rFonts w:ascii="Arial" w:hAnsi="Arial" w:cs="Arial"/>
          <w:lang w:val="en-GB"/>
        </w:rPr>
        <w:t>Ethiopia</w:t>
      </w:r>
      <w:bookmarkEnd w:id="4"/>
    </w:p>
    <w:p w14:paraId="2A8E9DA5" w14:textId="110CA09A" w:rsidR="00493447" w:rsidRPr="00493447" w:rsidRDefault="00493447" w:rsidP="00493447">
      <w:pPr>
        <w:rPr>
          <w:b/>
          <w:bCs/>
        </w:rPr>
      </w:pPr>
      <w:r w:rsidRPr="00493447">
        <w:rPr>
          <w:b/>
          <w:bCs/>
        </w:rPr>
        <w:t>Environmental and Technological Transition in Ethiopian Education System and Higher Education</w:t>
      </w:r>
    </w:p>
    <w:p w14:paraId="5A6E3EDA" w14:textId="77777777" w:rsidR="007A011E" w:rsidRPr="007A011E" w:rsidRDefault="007A011E" w:rsidP="007A011E">
      <w:pPr>
        <w:spacing w:before="100" w:beforeAutospacing="1" w:after="100" w:afterAutospacing="1" w:line="240" w:lineRule="auto"/>
        <w:jc w:val="both"/>
        <w:rPr>
          <w:rFonts w:ascii="Times New Roman" w:eastAsia="Times New Roman" w:hAnsi="Times New Roman" w:cs="Times New Roman"/>
          <w:sz w:val="24"/>
          <w:szCs w:val="24"/>
        </w:rPr>
      </w:pPr>
      <w:r w:rsidRPr="007A011E">
        <w:rPr>
          <w:rFonts w:ascii="Times New Roman" w:eastAsia="Times New Roman" w:hAnsi="Times New Roman" w:cs="Times New Roman"/>
          <w:sz w:val="24"/>
          <w:szCs w:val="24"/>
        </w:rPr>
        <w:lastRenderedPageBreak/>
        <w:t>Ethiopia’s HE and rural development sectors are at a pivotal moment for integrating twin transitions. However, progress remains uneven due to systemic challenges. According to the Ministry of Education (</w:t>
      </w:r>
      <w:proofErr w:type="spellStart"/>
      <w:r w:rsidRPr="007A011E">
        <w:rPr>
          <w:rFonts w:ascii="Times New Roman" w:eastAsia="Times New Roman" w:hAnsi="Times New Roman" w:cs="Times New Roman"/>
          <w:sz w:val="24"/>
          <w:szCs w:val="24"/>
        </w:rPr>
        <w:t>MoE</w:t>
      </w:r>
      <w:proofErr w:type="spellEnd"/>
      <w:r w:rsidRPr="007A011E">
        <w:rPr>
          <w:rFonts w:ascii="Times New Roman" w:eastAsia="Times New Roman" w:hAnsi="Times New Roman" w:cs="Times New Roman"/>
          <w:sz w:val="24"/>
          <w:szCs w:val="24"/>
        </w:rPr>
        <w:t xml:space="preserve">), only 15% of </w:t>
      </w:r>
      <w:proofErr w:type="gramStart"/>
      <w:r w:rsidRPr="007A011E">
        <w:rPr>
          <w:rFonts w:ascii="Times New Roman" w:eastAsia="Times New Roman" w:hAnsi="Times New Roman" w:cs="Times New Roman"/>
          <w:sz w:val="24"/>
          <w:szCs w:val="24"/>
        </w:rPr>
        <w:t>HE</w:t>
      </w:r>
      <w:proofErr w:type="gramEnd"/>
      <w:r w:rsidRPr="007A011E">
        <w:rPr>
          <w:rFonts w:ascii="Times New Roman" w:eastAsia="Times New Roman" w:hAnsi="Times New Roman" w:cs="Times New Roman"/>
          <w:sz w:val="24"/>
          <w:szCs w:val="24"/>
        </w:rPr>
        <w:t xml:space="preserve"> institutions have incorporated green and digital competencies into their curricula as of 2024 (</w:t>
      </w:r>
      <w:proofErr w:type="spellStart"/>
      <w:r w:rsidRPr="007A011E">
        <w:rPr>
          <w:rFonts w:ascii="Times New Roman" w:eastAsia="Times New Roman" w:hAnsi="Times New Roman" w:cs="Times New Roman"/>
          <w:sz w:val="24"/>
          <w:szCs w:val="24"/>
        </w:rPr>
        <w:t>MoE</w:t>
      </w:r>
      <w:proofErr w:type="spellEnd"/>
      <w:r w:rsidRPr="007A011E">
        <w:rPr>
          <w:rFonts w:ascii="Times New Roman" w:eastAsia="Times New Roman" w:hAnsi="Times New Roman" w:cs="Times New Roman"/>
          <w:sz w:val="24"/>
          <w:szCs w:val="24"/>
        </w:rPr>
        <w:t>, 2024). In rural areas, access to digital infrastructure is limited, with only 22% of rural communities having reliable internet connectivity (ITU, 2023). These gaps hinder the ability to deliver technology-driven education and promote sustainable entrepreneurship.</w:t>
      </w:r>
    </w:p>
    <w:p w14:paraId="526E28EE" w14:textId="77777777" w:rsidR="007A011E" w:rsidRPr="007A011E" w:rsidRDefault="007A011E" w:rsidP="007A011E">
      <w:pPr>
        <w:spacing w:before="100" w:beforeAutospacing="1" w:after="100" w:afterAutospacing="1" w:line="240" w:lineRule="auto"/>
        <w:jc w:val="both"/>
        <w:rPr>
          <w:rFonts w:ascii="Times New Roman" w:eastAsia="Times New Roman" w:hAnsi="Times New Roman" w:cs="Times New Roman"/>
          <w:sz w:val="24"/>
          <w:szCs w:val="24"/>
        </w:rPr>
      </w:pPr>
      <w:r w:rsidRPr="007A011E">
        <w:rPr>
          <w:rFonts w:ascii="Times New Roman" w:eastAsia="Times New Roman" w:hAnsi="Times New Roman" w:cs="Times New Roman"/>
          <w:sz w:val="24"/>
          <w:szCs w:val="24"/>
        </w:rPr>
        <w:t xml:space="preserve">Despite these challenges, Ethiopia has made strides in policy frameworks. The </w:t>
      </w:r>
      <w:r w:rsidRPr="007A011E">
        <w:rPr>
          <w:rFonts w:ascii="Times New Roman" w:eastAsia="Times New Roman" w:hAnsi="Times New Roman" w:cs="Times New Roman"/>
          <w:i/>
          <w:iCs/>
          <w:sz w:val="24"/>
          <w:szCs w:val="24"/>
        </w:rPr>
        <w:t>Digital Ethiopia 2025 Strategy</w:t>
      </w:r>
      <w:r w:rsidRPr="007A011E">
        <w:rPr>
          <w:rFonts w:ascii="Times New Roman" w:eastAsia="Times New Roman" w:hAnsi="Times New Roman" w:cs="Times New Roman"/>
          <w:sz w:val="24"/>
          <w:szCs w:val="24"/>
        </w:rPr>
        <w:t xml:space="preserve"> aims to enhance digital literacy and innovation, targeting 70% digital connectivity by 2025 (</w:t>
      </w:r>
      <w:proofErr w:type="spellStart"/>
      <w:r w:rsidRPr="007A011E">
        <w:rPr>
          <w:rFonts w:ascii="Times New Roman" w:eastAsia="Times New Roman" w:hAnsi="Times New Roman" w:cs="Times New Roman"/>
          <w:sz w:val="24"/>
          <w:szCs w:val="24"/>
        </w:rPr>
        <w:t>MoCIT</w:t>
      </w:r>
      <w:proofErr w:type="spellEnd"/>
      <w:r w:rsidRPr="007A011E">
        <w:rPr>
          <w:rFonts w:ascii="Times New Roman" w:eastAsia="Times New Roman" w:hAnsi="Times New Roman" w:cs="Times New Roman"/>
          <w:sz w:val="24"/>
          <w:szCs w:val="24"/>
        </w:rPr>
        <w:t xml:space="preserve">, 2020). Similarly, the </w:t>
      </w:r>
      <w:r w:rsidRPr="007A011E">
        <w:rPr>
          <w:rFonts w:ascii="Times New Roman" w:eastAsia="Times New Roman" w:hAnsi="Times New Roman" w:cs="Times New Roman"/>
          <w:i/>
          <w:iCs/>
          <w:sz w:val="24"/>
          <w:szCs w:val="24"/>
        </w:rPr>
        <w:t>National Green Economy Strategy</w:t>
      </w:r>
      <w:r w:rsidRPr="007A011E">
        <w:rPr>
          <w:rFonts w:ascii="Times New Roman" w:eastAsia="Times New Roman" w:hAnsi="Times New Roman" w:cs="Times New Roman"/>
          <w:sz w:val="24"/>
          <w:szCs w:val="24"/>
        </w:rPr>
        <w:t xml:space="preserve"> promotes climate-resilient development, emphasizing sustainable agricultural practices in rural areas (FDRE, 2011). However, implementation in </w:t>
      </w:r>
      <w:proofErr w:type="gramStart"/>
      <w:r w:rsidRPr="007A011E">
        <w:rPr>
          <w:rFonts w:ascii="Times New Roman" w:eastAsia="Times New Roman" w:hAnsi="Times New Roman" w:cs="Times New Roman"/>
          <w:sz w:val="24"/>
          <w:szCs w:val="24"/>
        </w:rPr>
        <w:t>HE</w:t>
      </w:r>
      <w:proofErr w:type="gramEnd"/>
      <w:r w:rsidRPr="007A011E">
        <w:rPr>
          <w:rFonts w:ascii="Times New Roman" w:eastAsia="Times New Roman" w:hAnsi="Times New Roman" w:cs="Times New Roman"/>
          <w:sz w:val="24"/>
          <w:szCs w:val="24"/>
        </w:rPr>
        <w:t xml:space="preserve"> and rural settings lags due to insufficient funding, lack of trained educators, and limited coordination between sectors.</w:t>
      </w:r>
    </w:p>
    <w:p w14:paraId="5EEABFD7" w14:textId="2B4855B4" w:rsidR="00493447" w:rsidRDefault="00493447" w:rsidP="00493447">
      <w:r>
        <w:t xml:space="preserve">Ethiopia's education system has begun to align with environmental and technological transitions through policy frameworks like the CRGE Strategy (2011) and the Digital Ethiopia 2025 Strategy. These frameworks stress the importance of mainstreaming climate resilience and ICT integration in teaching and learning. While significant gaps remain in infrastructure and training, universities such as </w:t>
      </w:r>
      <w:proofErr w:type="spellStart"/>
      <w:r>
        <w:t>Hawassa</w:t>
      </w:r>
      <w:proofErr w:type="spellEnd"/>
      <w:r>
        <w:t xml:space="preserve"> and Bahir Dar are piloting green campus initiatives and ICT-based learning tools.</w:t>
      </w:r>
    </w:p>
    <w:p w14:paraId="041DFA6C" w14:textId="630754AD" w:rsidR="00493447" w:rsidRDefault="00493447" w:rsidP="00493447">
      <w:r>
        <w:t>At the higher education level, initiatives like the "Digital Education Strategy" from the Ministry of Education (</w:t>
      </w:r>
      <w:proofErr w:type="spellStart"/>
      <w:r>
        <w:t>MoE</w:t>
      </w:r>
      <w:proofErr w:type="spellEnd"/>
      <w:r>
        <w:t>, 2021) show increasing efforts to digitize educational services and integrate sustainability into curriculum design. However, the lack of localized green-tech content and limited faculty capacity remains a challenge. Programs remain mostly theoretical, with little engagement in practice-based environmental and tech innovation relevant to local needs.</w:t>
      </w:r>
    </w:p>
    <w:p w14:paraId="21E2F511" w14:textId="20C93BC9" w:rsidR="00493447" w:rsidRPr="007A011E" w:rsidRDefault="00493447" w:rsidP="00493447">
      <w:pPr>
        <w:rPr>
          <w:b/>
        </w:rPr>
      </w:pPr>
      <w:r w:rsidRPr="007A011E">
        <w:rPr>
          <w:b/>
        </w:rPr>
        <w:t>Career Entrepreneurship and Rural Development</w:t>
      </w:r>
    </w:p>
    <w:p w14:paraId="2A6D3DB3" w14:textId="78744D5F" w:rsidR="00493447" w:rsidRDefault="00493447" w:rsidP="007A011E">
      <w:pPr>
        <w:jc w:val="both"/>
      </w:pPr>
      <w:r>
        <w:t xml:space="preserve">The integration of environmental and technological competencies into rural youth entrepreneurship is emerging but underdeveloped. Programs such as the Rural Job Creation Strategy (FDRE, 2017) and the Agricultural Commercialization Clusters (ACC) framework offer platforms for youth engagement, but lack explicit green and digital skill development tracks. Initiatives supported by GIZ and FAO have demonstrated that training rural youth in </w:t>
      </w:r>
      <w:proofErr w:type="spellStart"/>
      <w:r>
        <w:t>agritech</w:t>
      </w:r>
      <w:proofErr w:type="spellEnd"/>
      <w:r>
        <w:t>, eco-tourism, and sustainable inputs can create jobs while restoring local ecosystems.</w:t>
      </w:r>
    </w:p>
    <w:p w14:paraId="06E70A11" w14:textId="3BE4D079" w:rsidR="00EE5A72" w:rsidRDefault="00493447" w:rsidP="007A011E">
      <w:pPr>
        <w:jc w:val="both"/>
      </w:pPr>
      <w:r>
        <w:t xml:space="preserve">Career entrepreneurship hubs at institutions like </w:t>
      </w:r>
      <w:proofErr w:type="spellStart"/>
      <w:r>
        <w:t>Hawassa</w:t>
      </w:r>
      <w:proofErr w:type="spellEnd"/>
      <w:r>
        <w:t xml:space="preserve"> University and the Southern Agricultural Research Institute (SARI) are starting to offer incubation programs with a sustainability focus. However, the scale and coordination with TVETs and local governments </w:t>
      </w:r>
      <w:r>
        <w:lastRenderedPageBreak/>
        <w:t>is limited. Strengthening these linkages with green finance, smart agriculture, and rural digital services can foster long-term entrepreneurial growth.</w:t>
      </w:r>
    </w:p>
    <w:p w14:paraId="2F43E517" w14:textId="30F79760" w:rsidR="0093548E" w:rsidRPr="0093548E" w:rsidRDefault="0093548E" w:rsidP="0093548E">
      <w:pPr>
        <w:pStyle w:val="Heading1"/>
        <w:numPr>
          <w:ilvl w:val="0"/>
          <w:numId w:val="26"/>
        </w:numPr>
        <w:jc w:val="both"/>
        <w:rPr>
          <w:rFonts w:ascii="Arial" w:hAnsi="Arial" w:cs="Arial"/>
          <w:lang w:val="en-GB"/>
        </w:rPr>
      </w:pPr>
      <w:bookmarkStart w:id="5" w:name="_Toc200701874"/>
      <w:r>
        <w:rPr>
          <w:rFonts w:ascii="Arial" w:hAnsi="Arial" w:cs="Arial"/>
          <w:lang w:val="en-GB"/>
        </w:rPr>
        <w:t xml:space="preserve">Opportunities for integration of Twin Transition in HE and youth trainings in </w:t>
      </w:r>
      <w:r w:rsidR="00493447">
        <w:rPr>
          <w:rFonts w:ascii="Arial" w:hAnsi="Arial" w:cs="Arial"/>
          <w:lang w:val="en-GB"/>
        </w:rPr>
        <w:t>Ethiopia</w:t>
      </w:r>
      <w:bookmarkEnd w:id="5"/>
    </w:p>
    <w:p w14:paraId="61F9CCE5" w14:textId="4248A87B" w:rsidR="00493447" w:rsidRPr="00493447" w:rsidRDefault="00493447" w:rsidP="00493447">
      <w:pPr>
        <w:rPr>
          <w:rFonts w:ascii="Arial" w:hAnsi="Arial" w:cs="Arial"/>
          <w:sz w:val="20"/>
          <w:szCs w:val="20"/>
        </w:rPr>
      </w:pPr>
      <w:r w:rsidRPr="00493447">
        <w:rPr>
          <w:rFonts w:ascii="Arial" w:hAnsi="Arial" w:cs="Arial"/>
          <w:sz w:val="20"/>
          <w:szCs w:val="20"/>
        </w:rPr>
        <w:t xml:space="preserve">Twin transition integration offers opportunities for curriculum innovation, cross-sector partnerships, and community-driven green entrepreneurship. Incorporating practical modules on renewable energy, circular economy, and climate-smart agriculture in </w:t>
      </w:r>
      <w:proofErr w:type="gramStart"/>
      <w:r w:rsidRPr="00493447">
        <w:rPr>
          <w:rFonts w:ascii="Arial" w:hAnsi="Arial" w:cs="Arial"/>
          <w:sz w:val="20"/>
          <w:szCs w:val="20"/>
        </w:rPr>
        <w:t>HE</w:t>
      </w:r>
      <w:proofErr w:type="gramEnd"/>
      <w:r w:rsidRPr="00493447">
        <w:rPr>
          <w:rFonts w:ascii="Arial" w:hAnsi="Arial" w:cs="Arial"/>
          <w:sz w:val="20"/>
          <w:szCs w:val="20"/>
        </w:rPr>
        <w:t xml:space="preserve"> and TVET systems can enhance relevance and resilience.</w:t>
      </w:r>
    </w:p>
    <w:p w14:paraId="757D8E84" w14:textId="4736611B" w:rsidR="00EA2222" w:rsidRPr="009B2239" w:rsidRDefault="00493447" w:rsidP="00493447">
      <w:pPr>
        <w:rPr>
          <w:rFonts w:ascii="Arial" w:hAnsi="Arial" w:cs="Arial"/>
          <w:sz w:val="20"/>
          <w:szCs w:val="20"/>
        </w:rPr>
      </w:pPr>
      <w:r w:rsidRPr="00493447">
        <w:rPr>
          <w:rFonts w:ascii="Arial" w:hAnsi="Arial" w:cs="Arial"/>
          <w:sz w:val="20"/>
          <w:szCs w:val="20"/>
        </w:rPr>
        <w:t>Universities can serve as catalysts by partnering with rural schools, cooperatives, and tech firms. Creating digital platforms and using mobile-based training modules can increase reach and equity, especially for women and marginalized youth.</w:t>
      </w:r>
    </w:p>
    <w:p w14:paraId="4E735CE1" w14:textId="32EB058E" w:rsidR="0093548E" w:rsidRDefault="0093548E" w:rsidP="00EA2222">
      <w:pPr>
        <w:pStyle w:val="Heading1"/>
        <w:numPr>
          <w:ilvl w:val="0"/>
          <w:numId w:val="26"/>
        </w:numPr>
        <w:jc w:val="both"/>
        <w:rPr>
          <w:rFonts w:ascii="Arial" w:hAnsi="Arial" w:cs="Arial"/>
          <w:lang w:val="en-GB"/>
        </w:rPr>
      </w:pPr>
      <w:bookmarkStart w:id="6" w:name="_Toc200701875"/>
      <w:r>
        <w:rPr>
          <w:rFonts w:ascii="Arial" w:hAnsi="Arial" w:cs="Arial"/>
          <w:lang w:val="en-GB"/>
        </w:rPr>
        <w:t>Key conclusions and recommendations</w:t>
      </w:r>
      <w:bookmarkEnd w:id="6"/>
    </w:p>
    <w:p w14:paraId="047A766C" w14:textId="77777777" w:rsidR="007A011E" w:rsidRPr="007A011E" w:rsidRDefault="007A011E" w:rsidP="007A011E">
      <w:pPr>
        <w:spacing w:before="100" w:beforeAutospacing="1" w:after="100" w:afterAutospacing="1" w:line="240" w:lineRule="auto"/>
        <w:jc w:val="both"/>
        <w:rPr>
          <w:rFonts w:ascii="Times New Roman" w:eastAsia="Times New Roman" w:hAnsi="Times New Roman" w:cs="Times New Roman"/>
          <w:sz w:val="24"/>
          <w:szCs w:val="24"/>
        </w:rPr>
      </w:pPr>
      <w:r w:rsidRPr="007A011E">
        <w:rPr>
          <w:rFonts w:ascii="Times New Roman" w:eastAsia="Times New Roman" w:hAnsi="Times New Roman" w:cs="Times New Roman"/>
          <w:sz w:val="24"/>
          <w:szCs w:val="24"/>
        </w:rPr>
        <w:t xml:space="preserve">Integrating the twin transitions in Ethiopia’s </w:t>
      </w:r>
      <w:proofErr w:type="gramStart"/>
      <w:r w:rsidRPr="007A011E">
        <w:rPr>
          <w:rFonts w:ascii="Times New Roman" w:eastAsia="Times New Roman" w:hAnsi="Times New Roman" w:cs="Times New Roman"/>
          <w:sz w:val="24"/>
          <w:szCs w:val="24"/>
        </w:rPr>
        <w:t>HE</w:t>
      </w:r>
      <w:proofErr w:type="gramEnd"/>
      <w:r w:rsidRPr="007A011E">
        <w:rPr>
          <w:rFonts w:ascii="Times New Roman" w:eastAsia="Times New Roman" w:hAnsi="Times New Roman" w:cs="Times New Roman"/>
          <w:sz w:val="24"/>
          <w:szCs w:val="24"/>
        </w:rPr>
        <w:t xml:space="preserve"> and rural development sectors holds transformative potential for sustainable growth. By embedding green and digital competencies in education, investing in rural digital infrastructure, and empowering youth-led entrepreneurship, Ethiopia can build a resilient and inclusive economy. Coordinated efforts among policymakers, educators, and development partners will be critical to overcoming current challenges and realizing these opportunities.</w:t>
      </w:r>
    </w:p>
    <w:p w14:paraId="12999281" w14:textId="67251657" w:rsidR="00493447" w:rsidRPr="00493447" w:rsidRDefault="00493447" w:rsidP="00493447">
      <w:pPr>
        <w:pStyle w:val="ListParagraph"/>
        <w:numPr>
          <w:ilvl w:val="0"/>
          <w:numId w:val="27"/>
        </w:numPr>
        <w:rPr>
          <w:lang w:val="de-DE"/>
        </w:rPr>
      </w:pPr>
      <w:r w:rsidRPr="00493447">
        <w:rPr>
          <w:lang w:val="de-DE"/>
        </w:rPr>
        <w:t>Mainstream green and digital skills in HE and TVET curricula through practice-based learning.</w:t>
      </w:r>
    </w:p>
    <w:p w14:paraId="224CEE21" w14:textId="636572C4" w:rsidR="00493447" w:rsidRPr="00493447" w:rsidRDefault="00493447" w:rsidP="00493447">
      <w:pPr>
        <w:pStyle w:val="ListParagraph"/>
        <w:numPr>
          <w:ilvl w:val="0"/>
          <w:numId w:val="27"/>
        </w:numPr>
        <w:rPr>
          <w:lang w:val="de-DE"/>
        </w:rPr>
      </w:pPr>
      <w:r w:rsidRPr="00493447">
        <w:rPr>
          <w:lang w:val="de-DE"/>
        </w:rPr>
        <w:t>Enhance university-industry partnerships for green-tech incubation and rural employment.</w:t>
      </w:r>
    </w:p>
    <w:p w14:paraId="5F80A398" w14:textId="45F0AFEE" w:rsidR="00493447" w:rsidRPr="00493447" w:rsidRDefault="00493447" w:rsidP="00493447">
      <w:pPr>
        <w:pStyle w:val="ListParagraph"/>
        <w:numPr>
          <w:ilvl w:val="0"/>
          <w:numId w:val="27"/>
        </w:numPr>
        <w:rPr>
          <w:lang w:val="de-DE"/>
        </w:rPr>
      </w:pPr>
      <w:r w:rsidRPr="00493447">
        <w:rPr>
          <w:lang w:val="de-DE"/>
        </w:rPr>
        <w:t>Develop national guidelines for twin transition training and certification.</w:t>
      </w:r>
    </w:p>
    <w:p w14:paraId="3D342D34" w14:textId="6510DFD9" w:rsidR="0093548E" w:rsidRPr="00493447" w:rsidRDefault="00493447" w:rsidP="00493447">
      <w:pPr>
        <w:pStyle w:val="ListParagraph"/>
        <w:numPr>
          <w:ilvl w:val="0"/>
          <w:numId w:val="27"/>
        </w:numPr>
        <w:rPr>
          <w:lang w:val="de-DE"/>
        </w:rPr>
      </w:pPr>
      <w:r w:rsidRPr="00493447">
        <w:rPr>
          <w:lang w:val="de-DE"/>
        </w:rPr>
        <w:t>Strengthen local government roles in supporting rural tech hubs and green enterprises.</w:t>
      </w:r>
    </w:p>
    <w:p w14:paraId="50543A1F" w14:textId="4111443B" w:rsidR="00EA2222" w:rsidRPr="00EE5A72" w:rsidRDefault="00BE1B12" w:rsidP="00EA2222">
      <w:pPr>
        <w:pStyle w:val="Heading1"/>
        <w:numPr>
          <w:ilvl w:val="0"/>
          <w:numId w:val="26"/>
        </w:numPr>
        <w:jc w:val="both"/>
        <w:rPr>
          <w:rFonts w:ascii="Arial" w:hAnsi="Arial" w:cs="Arial"/>
          <w:lang w:val="en-GB"/>
        </w:rPr>
      </w:pPr>
      <w:bookmarkStart w:id="7" w:name="_Toc200701876"/>
      <w:r>
        <w:rPr>
          <w:rFonts w:ascii="Arial" w:hAnsi="Arial" w:cs="Arial"/>
          <w:lang w:val="en-GB"/>
        </w:rPr>
        <w:t>References and literature</w:t>
      </w:r>
      <w:bookmarkEnd w:id="7"/>
    </w:p>
    <w:p w14:paraId="658680C7" w14:textId="77777777" w:rsidR="00A3041F" w:rsidRDefault="00A3041F" w:rsidP="00493447">
      <w:pPr>
        <w:jc w:val="both"/>
        <w:rPr>
          <w:rFonts w:ascii="Arial" w:hAnsi="Arial" w:cs="Arial"/>
          <w:sz w:val="20"/>
          <w:szCs w:val="20"/>
          <w:lang w:val="de-DE"/>
        </w:rPr>
      </w:pPr>
    </w:p>
    <w:p w14:paraId="0F6226FF" w14:textId="0B99739E" w:rsidR="00554678" w:rsidRDefault="00554678" w:rsidP="00554678">
      <w:pPr>
        <w:pStyle w:val="NormalWeb"/>
      </w:pPr>
      <w:r>
        <w:t xml:space="preserve">International Telecommunication Union (ITU). (2023). </w:t>
      </w:r>
      <w:r>
        <w:rPr>
          <w:rStyle w:val="Emphasis"/>
        </w:rPr>
        <w:t>Digital Connectivity in Africa: 2023 Report</w:t>
      </w:r>
      <w:r>
        <w:t xml:space="preserve">. Geneva: ITU. Available at: </w:t>
      </w:r>
      <w:hyperlink r:id="rId8" w:history="1">
        <w:r w:rsidRPr="00C15DF2">
          <w:rPr>
            <w:rStyle w:val="Hyperlink"/>
          </w:rPr>
          <w:t>https://www.itu.int/reports</w:t>
        </w:r>
      </w:hyperlink>
    </w:p>
    <w:p w14:paraId="437EB5F1" w14:textId="6924E6BD" w:rsidR="00554678" w:rsidRDefault="00554678" w:rsidP="00554678">
      <w:pPr>
        <w:pStyle w:val="NormalWeb"/>
      </w:pPr>
      <w:r>
        <w:t>M</w:t>
      </w:r>
      <w:r>
        <w:t xml:space="preserve">inistry of Education (MoE). (2024). </w:t>
      </w:r>
      <w:r>
        <w:rPr>
          <w:rStyle w:val="Emphasis"/>
        </w:rPr>
        <w:t>Higher Education Sector Review</w:t>
      </w:r>
      <w:r>
        <w:t xml:space="preserve">. Addis Ababa: MoE. Available at: </w:t>
      </w:r>
      <w:hyperlink r:id="rId9" w:history="1">
        <w:r w:rsidRPr="00C15DF2">
          <w:rPr>
            <w:rStyle w:val="Hyperlink"/>
          </w:rPr>
          <w:t>https://www.moe.gov.et</w:t>
        </w:r>
      </w:hyperlink>
    </w:p>
    <w:p w14:paraId="6F16A5F4" w14:textId="6844EDE6" w:rsidR="00554678" w:rsidRDefault="00554678" w:rsidP="00554678">
      <w:pPr>
        <w:pStyle w:val="NormalWeb"/>
      </w:pPr>
      <w:r>
        <w:lastRenderedPageBreak/>
        <w:t xml:space="preserve">Ministry of Communication and Information Technology (MoCIT). (2020). </w:t>
      </w:r>
      <w:r>
        <w:rPr>
          <w:rStyle w:val="Emphasis"/>
        </w:rPr>
        <w:t>Digital Ethiopia 2025 Strategy</w:t>
      </w:r>
      <w:r>
        <w:t xml:space="preserve">. Addis Ababa: MoCIT. Available at: </w:t>
      </w:r>
      <w:hyperlink r:id="rId10" w:history="1">
        <w:r w:rsidRPr="00C15DF2">
          <w:rPr>
            <w:rStyle w:val="Hyperlink"/>
          </w:rPr>
          <w:t>https://www.mocit.gov.et</w:t>
        </w:r>
      </w:hyperlink>
    </w:p>
    <w:p w14:paraId="52E985D0" w14:textId="493E9EED" w:rsidR="00554678" w:rsidRDefault="00554678" w:rsidP="00554678">
      <w:pPr>
        <w:pStyle w:val="NormalWeb"/>
      </w:pPr>
      <w:r>
        <w:t>N</w:t>
      </w:r>
      <w:r>
        <w:t xml:space="preserve">ational Planning Commission (NPC). (2021). </w:t>
      </w:r>
      <w:r>
        <w:rPr>
          <w:rStyle w:val="Emphasis"/>
        </w:rPr>
        <w:t>Ethiopia’s Ten-Year Development Plan (2021–2030)</w:t>
      </w:r>
      <w:r>
        <w:t xml:space="preserve">. Addis Ababa: NPC. Available at: </w:t>
      </w:r>
      <w:hyperlink r:id="rId11" w:history="1">
        <w:r w:rsidRPr="00C15DF2">
          <w:rPr>
            <w:rStyle w:val="Hyperlink"/>
          </w:rPr>
          <w:t>https://www.npc.gov.et</w:t>
        </w:r>
      </w:hyperlink>
    </w:p>
    <w:p w14:paraId="18F24EC3" w14:textId="0160A6CD" w:rsidR="00A3041F" w:rsidRDefault="00A3041F" w:rsidP="00493447">
      <w:pPr>
        <w:jc w:val="both"/>
      </w:pPr>
      <w:r w:rsidRPr="00A3041F">
        <w:rPr>
          <w:rFonts w:ascii="Times New Roman" w:eastAsia="Times New Roman" w:hAnsi="Times New Roman" w:cs="Times New Roman"/>
          <w:sz w:val="24"/>
          <w:szCs w:val="24"/>
        </w:rPr>
        <w:t xml:space="preserve">Planning and Development Commission of the Federal Democratic Republic of Ethiopia, </w:t>
      </w:r>
      <w:r>
        <w:rPr>
          <w:rFonts w:ascii="Times New Roman" w:eastAsia="Times New Roman" w:hAnsi="Times New Roman" w:cs="Times New Roman"/>
          <w:sz w:val="24"/>
          <w:szCs w:val="24"/>
        </w:rPr>
        <w:t>(</w:t>
      </w:r>
      <w:r w:rsidRPr="00A3041F">
        <w:rPr>
          <w:rFonts w:ascii="Times New Roman" w:eastAsia="Times New Roman" w:hAnsi="Times New Roman" w:cs="Times New Roman"/>
          <w:sz w:val="24"/>
          <w:szCs w:val="24"/>
        </w:rPr>
        <w:t>2020)</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w:t>
      </w:r>
      <w:r w:rsidRPr="00A3041F">
        <w:rPr>
          <w:rFonts w:ascii="Times New Roman" w:eastAsia="Times New Roman" w:hAnsi="Times New Roman" w:cs="Times New Roman"/>
          <w:sz w:val="24"/>
          <w:szCs w:val="24"/>
        </w:rPr>
        <w:t>he</w:t>
      </w:r>
      <w:proofErr w:type="gramEnd"/>
      <w:r w:rsidRPr="00A3041F">
        <w:rPr>
          <w:rFonts w:ascii="Times New Roman" w:eastAsia="Times New Roman" w:hAnsi="Times New Roman" w:cs="Times New Roman"/>
          <w:sz w:val="24"/>
          <w:szCs w:val="24"/>
        </w:rPr>
        <w:t xml:space="preserve"> Ten-Ye</w:t>
      </w:r>
      <w:r w:rsidR="00554678">
        <w:rPr>
          <w:rFonts w:ascii="Times New Roman" w:eastAsia="Times New Roman" w:hAnsi="Times New Roman" w:cs="Times New Roman"/>
          <w:sz w:val="24"/>
          <w:szCs w:val="24"/>
        </w:rPr>
        <w:t>ar Development Plan (2021–2030)</w:t>
      </w:r>
      <w:r w:rsidRPr="00A3041F">
        <w:rPr>
          <w:rFonts w:ascii="Times New Roman" w:eastAsia="Times New Roman" w:hAnsi="Times New Roman" w:cs="Times New Roman"/>
          <w:sz w:val="24"/>
          <w:szCs w:val="24"/>
        </w:rPr>
        <w:t>.</w:t>
      </w:r>
      <w:r w:rsidRPr="00493447">
        <w:rPr>
          <w:lang w:val="de-DE"/>
        </w:rPr>
        <w:t xml:space="preserve"> </w:t>
      </w:r>
      <w:hyperlink r:id="rId12" w:history="1">
        <w:r>
          <w:rPr>
            <w:rStyle w:val="Hyperlink"/>
          </w:rPr>
          <w:t>ten_year_plan_popular_version.pdf</w:t>
        </w:r>
      </w:hyperlink>
    </w:p>
    <w:p w14:paraId="5D855B45" w14:textId="5459ED52" w:rsidR="00493447" w:rsidRPr="00493447" w:rsidRDefault="00493447" w:rsidP="00493447">
      <w:pPr>
        <w:jc w:val="both"/>
        <w:rPr>
          <w:rFonts w:ascii="Arial" w:hAnsi="Arial" w:cs="Arial"/>
          <w:sz w:val="20"/>
          <w:szCs w:val="20"/>
          <w:lang w:val="de-DE"/>
        </w:rPr>
      </w:pPr>
      <w:r w:rsidRPr="00493447">
        <w:rPr>
          <w:rFonts w:ascii="Arial" w:hAnsi="Arial" w:cs="Arial"/>
          <w:sz w:val="20"/>
          <w:szCs w:val="20"/>
          <w:lang w:val="de-DE"/>
        </w:rPr>
        <w:t>FDRE (2011). Climate Resilient Green Economy (CRGE) Strategy.</w:t>
      </w:r>
    </w:p>
    <w:p w14:paraId="2C968253" w14:textId="77777777" w:rsidR="00493447" w:rsidRPr="00493447" w:rsidRDefault="00493447" w:rsidP="00493447">
      <w:pPr>
        <w:jc w:val="both"/>
        <w:rPr>
          <w:rFonts w:ascii="Arial" w:hAnsi="Arial" w:cs="Arial"/>
          <w:sz w:val="20"/>
          <w:szCs w:val="20"/>
          <w:lang w:val="de-DE"/>
        </w:rPr>
      </w:pPr>
      <w:r w:rsidRPr="00493447">
        <w:rPr>
          <w:rFonts w:ascii="Arial" w:hAnsi="Arial" w:cs="Arial"/>
          <w:sz w:val="20"/>
          <w:szCs w:val="20"/>
          <w:lang w:val="de-DE"/>
        </w:rPr>
        <w:t>FDRE (2017). Rural Job Creation Strategy.</w:t>
      </w:r>
    </w:p>
    <w:p w14:paraId="4DB58E9D" w14:textId="77777777" w:rsidR="00493447" w:rsidRPr="00493447" w:rsidRDefault="00493447" w:rsidP="00493447">
      <w:pPr>
        <w:jc w:val="both"/>
        <w:rPr>
          <w:rFonts w:ascii="Arial" w:hAnsi="Arial" w:cs="Arial"/>
          <w:sz w:val="20"/>
          <w:szCs w:val="20"/>
          <w:lang w:val="de-DE"/>
        </w:rPr>
      </w:pPr>
      <w:r w:rsidRPr="00493447">
        <w:rPr>
          <w:rFonts w:ascii="Arial" w:hAnsi="Arial" w:cs="Arial"/>
          <w:sz w:val="20"/>
          <w:szCs w:val="20"/>
          <w:lang w:val="de-DE"/>
        </w:rPr>
        <w:t>Ministry of Education (2021). Digital Education Strategy.</w:t>
      </w:r>
    </w:p>
    <w:p w14:paraId="5708FD4B" w14:textId="77777777" w:rsidR="00A3041F" w:rsidRDefault="00A3041F" w:rsidP="00A3041F">
      <w:pPr>
        <w:spacing w:before="100" w:beforeAutospacing="1" w:after="100" w:afterAutospacing="1" w:line="240" w:lineRule="auto"/>
        <w:rPr>
          <w:rFonts w:ascii="Times New Roman" w:eastAsia="Times New Roman" w:hAnsi="Times New Roman" w:cs="Times New Roman"/>
          <w:sz w:val="24"/>
          <w:szCs w:val="24"/>
        </w:rPr>
      </w:pPr>
      <w:r w:rsidRPr="00A3041F">
        <w:rPr>
          <w:rFonts w:ascii="Times New Roman" w:eastAsia="Times New Roman" w:hAnsi="Times New Roman" w:cs="Times New Roman"/>
          <w:sz w:val="24"/>
          <w:szCs w:val="24"/>
        </w:rPr>
        <w:t xml:space="preserve">National Planning Commission (NPC). (2021). </w:t>
      </w:r>
      <w:r w:rsidRPr="00A3041F">
        <w:rPr>
          <w:rFonts w:ascii="Times New Roman" w:eastAsia="Times New Roman" w:hAnsi="Times New Roman" w:cs="Times New Roman"/>
          <w:i/>
          <w:iCs/>
          <w:sz w:val="24"/>
          <w:szCs w:val="24"/>
        </w:rPr>
        <w:t>Ethiopia’s Ten-Year Development Plan (2021–2030)</w:t>
      </w:r>
      <w:r w:rsidRPr="00A3041F">
        <w:rPr>
          <w:rFonts w:ascii="Times New Roman" w:eastAsia="Times New Roman" w:hAnsi="Times New Roman" w:cs="Times New Roman"/>
          <w:sz w:val="24"/>
          <w:szCs w:val="24"/>
        </w:rPr>
        <w:t xml:space="preserve">. Addis Ababa: NPC. Available at: </w:t>
      </w:r>
      <w:hyperlink r:id="rId13" w:history="1">
        <w:r w:rsidRPr="00C15DF2">
          <w:rPr>
            <w:rStyle w:val="Hyperlink"/>
            <w:rFonts w:ascii="Times New Roman" w:eastAsia="Times New Roman" w:hAnsi="Times New Roman" w:cs="Times New Roman"/>
            <w:sz w:val="24"/>
            <w:szCs w:val="24"/>
          </w:rPr>
          <w:t>https://www.npc.gov.et</w:t>
        </w:r>
      </w:hyperlink>
    </w:p>
    <w:p w14:paraId="604C3B69" w14:textId="0EEA1A77" w:rsidR="00493447" w:rsidRPr="00493447" w:rsidRDefault="00493447" w:rsidP="00493447">
      <w:pPr>
        <w:jc w:val="both"/>
        <w:rPr>
          <w:rFonts w:ascii="Arial" w:hAnsi="Arial" w:cs="Arial"/>
          <w:sz w:val="20"/>
          <w:szCs w:val="20"/>
          <w:lang w:val="de-DE"/>
        </w:rPr>
      </w:pPr>
      <w:r w:rsidRPr="00493447">
        <w:rPr>
          <w:rFonts w:ascii="Arial" w:hAnsi="Arial" w:cs="Arial"/>
          <w:sz w:val="20"/>
          <w:szCs w:val="20"/>
          <w:lang w:val="de-DE"/>
        </w:rPr>
        <w:t>FDRE (2020). Digital Ethiopia 2025 Strategy.</w:t>
      </w:r>
    </w:p>
    <w:p w14:paraId="1F4C38FC" w14:textId="77777777" w:rsidR="00493447" w:rsidRPr="00493447" w:rsidRDefault="00493447" w:rsidP="00493447">
      <w:pPr>
        <w:jc w:val="both"/>
        <w:rPr>
          <w:rFonts w:ascii="Arial" w:hAnsi="Arial" w:cs="Arial"/>
          <w:sz w:val="20"/>
          <w:szCs w:val="20"/>
          <w:lang w:val="de-DE"/>
        </w:rPr>
      </w:pPr>
      <w:r w:rsidRPr="00493447">
        <w:rPr>
          <w:rFonts w:ascii="Arial" w:hAnsi="Arial" w:cs="Arial"/>
          <w:sz w:val="20"/>
          <w:szCs w:val="20"/>
          <w:lang w:val="de-DE"/>
        </w:rPr>
        <w:t>GIZ (2022). Youth and Employment in Rural Ethiopia.</w:t>
      </w:r>
    </w:p>
    <w:p w14:paraId="0E2DFCA8" w14:textId="19C71028" w:rsidR="0058004E" w:rsidRPr="00493447" w:rsidRDefault="00493447" w:rsidP="00493447">
      <w:pPr>
        <w:jc w:val="both"/>
        <w:rPr>
          <w:rFonts w:ascii="Arial" w:hAnsi="Arial" w:cs="Arial"/>
          <w:sz w:val="20"/>
          <w:szCs w:val="20"/>
          <w:lang w:val="de-DE"/>
        </w:rPr>
      </w:pPr>
      <w:r w:rsidRPr="00493447">
        <w:rPr>
          <w:rFonts w:ascii="Arial" w:hAnsi="Arial" w:cs="Arial"/>
          <w:sz w:val="20"/>
          <w:szCs w:val="20"/>
          <w:lang w:val="de-DE"/>
        </w:rPr>
        <w:t>FAO (2023). Sustainable Agribusiness in East Africa: Lessons from Ethiopia.</w:t>
      </w:r>
    </w:p>
    <w:sectPr w:rsidR="0058004E" w:rsidRPr="00493447" w:rsidSect="00034616">
      <w:headerReference w:type="default"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7AC34" w14:textId="77777777" w:rsidR="00E25AC2" w:rsidRDefault="00E25AC2" w:rsidP="00705079">
      <w:pPr>
        <w:spacing w:after="0" w:line="240" w:lineRule="auto"/>
      </w:pPr>
      <w:r>
        <w:separator/>
      </w:r>
    </w:p>
  </w:endnote>
  <w:endnote w:type="continuationSeparator" w:id="0">
    <w:p w14:paraId="60941E67" w14:textId="77777777" w:rsidR="00E25AC2" w:rsidRDefault="00E25AC2" w:rsidP="00705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angal">
    <w:altName w:val="Geez Able"/>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435BB" w14:textId="59C20FD8" w:rsidR="00705079" w:rsidRDefault="00705079" w:rsidP="00705079">
    <w:r w:rsidRPr="00AA2776">
      <w:rPr>
        <w:sz w:val="1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5F98E" w14:textId="77777777" w:rsidR="00E25AC2" w:rsidRDefault="00E25AC2" w:rsidP="00705079">
      <w:pPr>
        <w:spacing w:after="0" w:line="240" w:lineRule="auto"/>
      </w:pPr>
      <w:r>
        <w:separator/>
      </w:r>
    </w:p>
  </w:footnote>
  <w:footnote w:type="continuationSeparator" w:id="0">
    <w:p w14:paraId="28201EBC" w14:textId="77777777" w:rsidR="00E25AC2" w:rsidRDefault="00E25AC2" w:rsidP="00705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E189C" w14:textId="01EB2E8B" w:rsidR="00705079" w:rsidRDefault="00705079" w:rsidP="00705079">
    <w:pPr>
      <w:pStyle w:val="NormalWeb"/>
      <w:ind w:left="-360" w:right="-648"/>
      <w:rPr>
        <w:noProof/>
      </w:rPr>
    </w:pPr>
    <w:r>
      <w:rPr>
        <w:rFonts w:cs="Arial"/>
        <w:noProof/>
        <w:lang w:val="en-US" w:eastAsia="en-US"/>
      </w:rPr>
      <w:drawing>
        <wp:inline distT="0" distB="0" distL="0" distR="0" wp14:anchorId="34C221D1" wp14:editId="169825D8">
          <wp:extent cx="453189" cy="457200"/>
          <wp:effectExtent l="0" t="0" r="4445" b="0"/>
          <wp:docPr id="33" name="Picture 33" descr="C:\Users\hswt993anj\AppData\Local\Microsoft\Windows\INetCache\Content.MSO\69EFB0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hswt993anj\AppData\Local\Microsoft\Windows\INetCache\Content.MSO\69EFB06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189" cy="457200"/>
                  </a:xfrm>
                  <a:prstGeom prst="rect">
                    <a:avLst/>
                  </a:prstGeom>
                  <a:noFill/>
                  <a:ln>
                    <a:noFill/>
                  </a:ln>
                </pic:spPr>
              </pic:pic>
            </a:graphicData>
          </a:graphic>
        </wp:inline>
      </w:drawing>
    </w:r>
    <w:r>
      <w:rPr>
        <w:rFonts w:cs="Arial"/>
        <w:noProof/>
        <w:lang w:val="en-US" w:eastAsia="en-US"/>
      </w:rPr>
      <w:drawing>
        <wp:inline distT="0" distB="0" distL="0" distR="0" wp14:anchorId="65F09DEB" wp14:editId="5AE72107">
          <wp:extent cx="481913" cy="457200"/>
          <wp:effectExtent l="0" t="0" r="0" b="0"/>
          <wp:docPr id="32" name="Picture 32" descr="C:\Users\hswt993anj\AppData\Local\Microsoft\Windows\INetCache\Content.MSO\F90B04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hswt993anj\AppData\Local\Microsoft\Windows\INetCache\Content.MSO\F90B042E.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1913" cy="457200"/>
                  </a:xfrm>
                  <a:prstGeom prst="rect">
                    <a:avLst/>
                  </a:prstGeom>
                  <a:noFill/>
                  <a:ln>
                    <a:noFill/>
                  </a:ln>
                </pic:spPr>
              </pic:pic>
            </a:graphicData>
          </a:graphic>
        </wp:inline>
      </w:drawing>
    </w:r>
    <w:r>
      <w:rPr>
        <w:rFonts w:cs="Arial"/>
        <w:noProof/>
        <w:lang w:val="en-US" w:eastAsia="en-US"/>
      </w:rPr>
      <w:drawing>
        <wp:inline distT="0" distB="0" distL="0" distR="0" wp14:anchorId="6FEAEF85" wp14:editId="22F3A353">
          <wp:extent cx="457200" cy="457200"/>
          <wp:effectExtent l="0" t="0" r="0" b="0"/>
          <wp:docPr id="31" name="Picture 31" descr="C:\Users\hswt993anj\AppData\Local\Microsoft\Windows\INetCache\Content.MSO\C4BA612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hswt993anj\AppData\Local\Microsoft\Windows\INetCache\Content.MSO\C4BA6120.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cs="Arial"/>
        <w:noProof/>
        <w:lang w:val="en-US" w:eastAsia="en-US"/>
      </w:rPr>
      <w:drawing>
        <wp:inline distT="0" distB="0" distL="0" distR="0" wp14:anchorId="77CD711A" wp14:editId="1F78FD5D">
          <wp:extent cx="388620" cy="457200"/>
          <wp:effectExtent l="0" t="0" r="0" b="0"/>
          <wp:docPr id="34" name="Picture 34" descr="C:\Users\hswt993anj\AppData\Local\Microsoft\Windows\INetCache\Content.MSO\5E5BAD5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hswt993anj\AppData\Local\Microsoft\Windows\INetCache\Content.MSO\5E5BAD5A.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8620" cy="457200"/>
                  </a:xfrm>
                  <a:prstGeom prst="rect">
                    <a:avLst/>
                  </a:prstGeom>
                  <a:noFill/>
                  <a:ln>
                    <a:noFill/>
                  </a:ln>
                </pic:spPr>
              </pic:pic>
            </a:graphicData>
          </a:graphic>
        </wp:inline>
      </w:drawing>
    </w:r>
    <w:r>
      <w:rPr>
        <w:rFonts w:cs="Arial"/>
        <w:noProof/>
        <w:lang w:val="en-US" w:eastAsia="en-US"/>
      </w:rPr>
      <w:drawing>
        <wp:inline distT="0" distB="0" distL="0" distR="0" wp14:anchorId="7F9CA9A1" wp14:editId="38248551">
          <wp:extent cx="450243" cy="457200"/>
          <wp:effectExtent l="0" t="0" r="6985" b="0"/>
          <wp:docPr id="35" name="Picture 35" descr="C:\Users\hswt993anj\AppData\Local\Microsoft\Windows\INetCache\Content.MSO\3E9B2E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hswt993anj\AppData\Local\Microsoft\Windows\INetCache\Content.MSO\3E9B2E78.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243" cy="457200"/>
                  </a:xfrm>
                  <a:prstGeom prst="rect">
                    <a:avLst/>
                  </a:prstGeom>
                  <a:noFill/>
                  <a:ln>
                    <a:noFill/>
                  </a:ln>
                </pic:spPr>
              </pic:pic>
            </a:graphicData>
          </a:graphic>
        </wp:inline>
      </w:drawing>
    </w:r>
    <w:r>
      <w:rPr>
        <w:rFonts w:cs="Arial"/>
        <w:noProof/>
        <w:lang w:val="en-US" w:eastAsia="en-US"/>
      </w:rPr>
      <w:drawing>
        <wp:inline distT="0" distB="0" distL="0" distR="0" wp14:anchorId="6C1B49C4" wp14:editId="6DE9E022">
          <wp:extent cx="439478" cy="457200"/>
          <wp:effectExtent l="0" t="0" r="0" b="0"/>
          <wp:docPr id="36" name="Picture 36" descr="C:\Users\hswt993anj\AppData\Local\Microsoft\Windows\INetCache\Content.MSO\B7E33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hswt993anj\AppData\Local\Microsoft\Windows\INetCache\Content.MSO\B7E3346.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478" cy="457200"/>
                  </a:xfrm>
                  <a:prstGeom prst="rect">
                    <a:avLst/>
                  </a:prstGeom>
                  <a:noFill/>
                  <a:ln>
                    <a:noFill/>
                  </a:ln>
                </pic:spPr>
              </pic:pic>
            </a:graphicData>
          </a:graphic>
        </wp:inline>
      </w:drawing>
    </w:r>
    <w:r>
      <w:rPr>
        <w:rFonts w:cs="Arial"/>
        <w:noProof/>
        <w:lang w:val="en-US" w:eastAsia="en-US"/>
      </w:rPr>
      <w:drawing>
        <wp:inline distT="0" distB="0" distL="0" distR="0" wp14:anchorId="404862FA" wp14:editId="3409D694">
          <wp:extent cx="420833" cy="457200"/>
          <wp:effectExtent l="0" t="0" r="0" b="0"/>
          <wp:docPr id="37" name="Picture 37" descr="C:\Users\hswt993anj\AppData\Local\Microsoft\Windows\INetCache\Content.MSO\722667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hswt993anj\AppData\Local\Microsoft\Windows\INetCache\Content.MSO\7226674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833" cy="457200"/>
                  </a:xfrm>
                  <a:prstGeom prst="rect">
                    <a:avLst/>
                  </a:prstGeom>
                  <a:noFill/>
                  <a:ln>
                    <a:noFill/>
                  </a:ln>
                </pic:spPr>
              </pic:pic>
            </a:graphicData>
          </a:graphic>
        </wp:inline>
      </w:drawing>
    </w:r>
    <w:r>
      <w:rPr>
        <w:rFonts w:cs="Arial"/>
        <w:noProof/>
        <w:lang w:val="en-US" w:eastAsia="en-US"/>
      </w:rPr>
      <w:drawing>
        <wp:inline distT="0" distB="0" distL="0" distR="0" wp14:anchorId="7879C9B9" wp14:editId="733CB5DD">
          <wp:extent cx="486698" cy="457200"/>
          <wp:effectExtent l="0" t="0" r="8890" b="0"/>
          <wp:docPr id="38" name="Picture 38" descr="C:\Users\hswt993anj\AppData\Local\Microsoft\Windows\INetCache\Content.MSO\DB7001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hswt993anj\AppData\Local\Microsoft\Windows\INetCache\Content.MSO\DB7001F2.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698" cy="457200"/>
                  </a:xfrm>
                  <a:prstGeom prst="rect">
                    <a:avLst/>
                  </a:prstGeom>
                  <a:noFill/>
                  <a:ln>
                    <a:noFill/>
                  </a:ln>
                </pic:spPr>
              </pic:pic>
            </a:graphicData>
          </a:graphic>
        </wp:inline>
      </w:drawing>
    </w:r>
    <w:r>
      <w:rPr>
        <w:rFonts w:cs="Arial"/>
        <w:noProof/>
        <w:lang w:val="en-US" w:eastAsia="en-US"/>
      </w:rPr>
      <w:drawing>
        <wp:inline distT="0" distB="0" distL="0" distR="0" wp14:anchorId="7B19E2A2" wp14:editId="2B184ABA">
          <wp:extent cx="439698" cy="457200"/>
          <wp:effectExtent l="0" t="0" r="0" b="0"/>
          <wp:docPr id="39" name="Picture 39" descr="C:\Users\hswt993anj\AppData\Local\Microsoft\Windows\INetCache\Content.MSO\48ADA6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hswt993anj\AppData\Local\Microsoft\Windows\INetCache\Content.MSO\48ADA6D0.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9698" cy="457200"/>
                  </a:xfrm>
                  <a:prstGeom prst="rect">
                    <a:avLst/>
                  </a:prstGeom>
                  <a:noFill/>
                  <a:ln>
                    <a:noFill/>
                  </a:ln>
                </pic:spPr>
              </pic:pic>
            </a:graphicData>
          </a:graphic>
        </wp:inline>
      </w:drawing>
    </w:r>
    <w:r>
      <w:rPr>
        <w:rFonts w:cs="Arial"/>
        <w:noProof/>
        <w:lang w:val="en-US" w:eastAsia="en-US"/>
      </w:rPr>
      <w:drawing>
        <wp:inline distT="0" distB="0" distL="0" distR="0" wp14:anchorId="5DF78E5F" wp14:editId="7D1DB351">
          <wp:extent cx="473337" cy="457200"/>
          <wp:effectExtent l="0" t="0" r="3175" b="0"/>
          <wp:docPr id="40" name="Picture 40" descr="C:\Users\hswt993anj\AppData\Local\Microsoft\Windows\INetCache\Content.MSO\902F45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hswt993anj\AppData\Local\Microsoft\Windows\INetCache\Content.MSO\902F455E.tmp"/>
                  <pic:cNvPicPr>
                    <a:picLocks noChangeAspect="1" noChangeArrowheads="1"/>
                  </pic:cNvPicPr>
                </pic:nvPicPr>
                <pic:blipFill rotWithShape="1">
                  <a:blip r:embed="rId10">
                    <a:extLst>
                      <a:ext uri="{28A0092B-C50C-407E-A947-70E740481C1C}">
                        <a14:useLocalDpi xmlns:a14="http://schemas.microsoft.com/office/drawing/2010/main" val="0"/>
                      </a:ext>
                    </a:extLst>
                  </a:blip>
                  <a:srcRect t="50867" r="65892"/>
                  <a:stretch/>
                </pic:blipFill>
                <pic:spPr bwMode="auto">
                  <a:xfrm>
                    <a:off x="0" y="0"/>
                    <a:ext cx="473337" cy="4572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val="en-US" w:eastAsia="en-US"/>
      </w:rPr>
      <w:drawing>
        <wp:inline distT="0" distB="0" distL="0" distR="0" wp14:anchorId="77751E56" wp14:editId="6319C971">
          <wp:extent cx="1257299" cy="457200"/>
          <wp:effectExtent l="0" t="0" r="635" b="0"/>
          <wp:docPr id="41" name="Picture 41" descr="C:\Users\hswt993anj\Downloads\EU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hswt993anj\Downloads\EU logo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299"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975299"/>
    <w:multiLevelType w:val="hybridMultilevel"/>
    <w:tmpl w:val="DD44F5E4"/>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68B41FE"/>
    <w:multiLevelType w:val="hybridMultilevel"/>
    <w:tmpl w:val="DD96573E"/>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A545B86"/>
    <w:multiLevelType w:val="hybridMultilevel"/>
    <w:tmpl w:val="FEE2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720ABB"/>
    <w:multiLevelType w:val="hybridMultilevel"/>
    <w:tmpl w:val="B4EC3976"/>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F240A21"/>
    <w:multiLevelType w:val="multilevel"/>
    <w:tmpl w:val="8022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9A593C"/>
    <w:multiLevelType w:val="hybridMultilevel"/>
    <w:tmpl w:val="6874931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B616D10"/>
    <w:multiLevelType w:val="hybridMultilevel"/>
    <w:tmpl w:val="3EF45F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E257896"/>
    <w:multiLevelType w:val="hybridMultilevel"/>
    <w:tmpl w:val="75688984"/>
    <w:lvl w:ilvl="0" w:tplc="BA6C4326">
      <w:start w:val="1"/>
      <w:numFmt w:val="bullet"/>
      <w:lvlText w:val="-"/>
      <w:lvlJc w:val="left"/>
      <w:pPr>
        <w:ind w:left="360" w:hanging="360"/>
      </w:pPr>
      <w:rPr>
        <w:rFonts w:ascii="Calibri" w:eastAsiaTheme="minorEastAsia" w:hAnsi="Calibri" w:cs="Calibr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36477324"/>
    <w:multiLevelType w:val="hybridMultilevel"/>
    <w:tmpl w:val="F8A67A38"/>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286822"/>
    <w:multiLevelType w:val="hybridMultilevel"/>
    <w:tmpl w:val="7562AC20"/>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ACB35A2"/>
    <w:multiLevelType w:val="hybridMultilevel"/>
    <w:tmpl w:val="85B4F3C8"/>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A72F5A"/>
    <w:multiLevelType w:val="hybridMultilevel"/>
    <w:tmpl w:val="750E0B74"/>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08F659D"/>
    <w:multiLevelType w:val="hybridMultilevel"/>
    <w:tmpl w:val="F894FF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3CF7AF9"/>
    <w:multiLevelType w:val="hybridMultilevel"/>
    <w:tmpl w:val="DACC4B14"/>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5FD1AEB"/>
    <w:multiLevelType w:val="hybridMultilevel"/>
    <w:tmpl w:val="E2E858EA"/>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B8F37CD"/>
    <w:multiLevelType w:val="hybridMultilevel"/>
    <w:tmpl w:val="002625B6"/>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DCB0A56"/>
    <w:multiLevelType w:val="hybridMultilevel"/>
    <w:tmpl w:val="8D1CEB54"/>
    <w:lvl w:ilvl="0" w:tplc="B7723096">
      <w:start w:val="1"/>
      <w:numFmt w:val="decimal"/>
      <w:lvlText w:val="%1."/>
      <w:lvlJc w:val="left"/>
      <w:pPr>
        <w:ind w:left="940" w:hanging="360"/>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75F6E928">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2" w:tplc="56D239AC">
      <w:numFmt w:val="bullet"/>
      <w:lvlText w:val="•"/>
      <w:lvlJc w:val="left"/>
      <w:pPr>
        <w:ind w:left="2712" w:hanging="360"/>
      </w:pPr>
      <w:rPr>
        <w:rFonts w:hint="default"/>
        <w:lang w:val="en-US" w:eastAsia="en-US" w:bidi="ar-SA"/>
      </w:rPr>
    </w:lvl>
    <w:lvl w:ilvl="3" w:tplc="09E285C4">
      <w:numFmt w:val="bullet"/>
      <w:lvlText w:val="•"/>
      <w:lvlJc w:val="left"/>
      <w:pPr>
        <w:ind w:left="3598" w:hanging="360"/>
      </w:pPr>
      <w:rPr>
        <w:rFonts w:hint="default"/>
        <w:lang w:val="en-US" w:eastAsia="en-US" w:bidi="ar-SA"/>
      </w:rPr>
    </w:lvl>
    <w:lvl w:ilvl="4" w:tplc="0F72007E">
      <w:numFmt w:val="bullet"/>
      <w:lvlText w:val="•"/>
      <w:lvlJc w:val="left"/>
      <w:pPr>
        <w:ind w:left="4484" w:hanging="360"/>
      </w:pPr>
      <w:rPr>
        <w:rFonts w:hint="default"/>
        <w:lang w:val="en-US" w:eastAsia="en-US" w:bidi="ar-SA"/>
      </w:rPr>
    </w:lvl>
    <w:lvl w:ilvl="5" w:tplc="5DDC445A">
      <w:numFmt w:val="bullet"/>
      <w:lvlText w:val="•"/>
      <w:lvlJc w:val="left"/>
      <w:pPr>
        <w:ind w:left="5370" w:hanging="360"/>
      </w:pPr>
      <w:rPr>
        <w:rFonts w:hint="default"/>
        <w:lang w:val="en-US" w:eastAsia="en-US" w:bidi="ar-SA"/>
      </w:rPr>
    </w:lvl>
    <w:lvl w:ilvl="6" w:tplc="B5FCF31C">
      <w:numFmt w:val="bullet"/>
      <w:lvlText w:val="•"/>
      <w:lvlJc w:val="left"/>
      <w:pPr>
        <w:ind w:left="6256" w:hanging="360"/>
      </w:pPr>
      <w:rPr>
        <w:rFonts w:hint="default"/>
        <w:lang w:val="en-US" w:eastAsia="en-US" w:bidi="ar-SA"/>
      </w:rPr>
    </w:lvl>
    <w:lvl w:ilvl="7" w:tplc="FE3858CA">
      <w:numFmt w:val="bullet"/>
      <w:lvlText w:val="•"/>
      <w:lvlJc w:val="left"/>
      <w:pPr>
        <w:ind w:left="7142" w:hanging="360"/>
      </w:pPr>
      <w:rPr>
        <w:rFonts w:hint="default"/>
        <w:lang w:val="en-US" w:eastAsia="en-US" w:bidi="ar-SA"/>
      </w:rPr>
    </w:lvl>
    <w:lvl w:ilvl="8" w:tplc="B4940E36">
      <w:numFmt w:val="bullet"/>
      <w:lvlText w:val="•"/>
      <w:lvlJc w:val="left"/>
      <w:pPr>
        <w:ind w:left="8028" w:hanging="360"/>
      </w:pPr>
      <w:rPr>
        <w:rFonts w:hint="default"/>
        <w:lang w:val="en-US" w:eastAsia="en-US" w:bidi="ar-SA"/>
      </w:rPr>
    </w:lvl>
  </w:abstractNum>
  <w:abstractNum w:abstractNumId="26" w15:restartNumberingAfterBreak="0">
    <w:nsid w:val="6BAD105D"/>
    <w:multiLevelType w:val="hybridMultilevel"/>
    <w:tmpl w:val="0B008212"/>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76F1C6D"/>
    <w:multiLevelType w:val="hybridMultilevel"/>
    <w:tmpl w:val="51A23EB6"/>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1"/>
  </w:num>
  <w:num w:numId="11">
    <w:abstractNumId w:val="16"/>
  </w:num>
  <w:num w:numId="12">
    <w:abstractNumId w:val="19"/>
  </w:num>
  <w:num w:numId="13">
    <w:abstractNumId w:val="22"/>
  </w:num>
  <w:num w:numId="14">
    <w:abstractNumId w:val="24"/>
  </w:num>
  <w:num w:numId="15">
    <w:abstractNumId w:val="20"/>
  </w:num>
  <w:num w:numId="16">
    <w:abstractNumId w:val="10"/>
  </w:num>
  <w:num w:numId="17">
    <w:abstractNumId w:val="9"/>
  </w:num>
  <w:num w:numId="18">
    <w:abstractNumId w:val="12"/>
  </w:num>
  <w:num w:numId="19">
    <w:abstractNumId w:val="26"/>
  </w:num>
  <w:num w:numId="20">
    <w:abstractNumId w:val="18"/>
  </w:num>
  <w:num w:numId="21">
    <w:abstractNumId w:val="23"/>
  </w:num>
  <w:num w:numId="22">
    <w:abstractNumId w:val="27"/>
  </w:num>
  <w:num w:numId="23">
    <w:abstractNumId w:val="17"/>
  </w:num>
  <w:num w:numId="24">
    <w:abstractNumId w:val="25"/>
  </w:num>
  <w:num w:numId="25">
    <w:abstractNumId w:val="15"/>
  </w:num>
  <w:num w:numId="26">
    <w:abstractNumId w:val="14"/>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1NbM0Mza0NDAzsbRU0lEKTi0uzszPAykwrAUAYJcEjCwAAAA="/>
  </w:docVars>
  <w:rsids>
    <w:rsidRoot w:val="00B47730"/>
    <w:rsid w:val="00034616"/>
    <w:rsid w:val="0006063C"/>
    <w:rsid w:val="00077E2C"/>
    <w:rsid w:val="000B4BD4"/>
    <w:rsid w:val="0015074B"/>
    <w:rsid w:val="001E671D"/>
    <w:rsid w:val="0021553B"/>
    <w:rsid w:val="00260D6D"/>
    <w:rsid w:val="0029639D"/>
    <w:rsid w:val="002F7D75"/>
    <w:rsid w:val="00326F90"/>
    <w:rsid w:val="003A163B"/>
    <w:rsid w:val="004679EF"/>
    <w:rsid w:val="00493447"/>
    <w:rsid w:val="004F2344"/>
    <w:rsid w:val="005355BF"/>
    <w:rsid w:val="00554678"/>
    <w:rsid w:val="0058004E"/>
    <w:rsid w:val="006541C2"/>
    <w:rsid w:val="00693EC7"/>
    <w:rsid w:val="006A3CAE"/>
    <w:rsid w:val="006E53BA"/>
    <w:rsid w:val="00705079"/>
    <w:rsid w:val="007A011E"/>
    <w:rsid w:val="008165F0"/>
    <w:rsid w:val="00915F07"/>
    <w:rsid w:val="0093548E"/>
    <w:rsid w:val="009B2239"/>
    <w:rsid w:val="009D1921"/>
    <w:rsid w:val="00A247B1"/>
    <w:rsid w:val="00A3041F"/>
    <w:rsid w:val="00A5797C"/>
    <w:rsid w:val="00AA1D8D"/>
    <w:rsid w:val="00AA59E8"/>
    <w:rsid w:val="00AB762A"/>
    <w:rsid w:val="00B47730"/>
    <w:rsid w:val="00B84CE8"/>
    <w:rsid w:val="00B92E39"/>
    <w:rsid w:val="00BE1B12"/>
    <w:rsid w:val="00BF40A1"/>
    <w:rsid w:val="00C60CA9"/>
    <w:rsid w:val="00CA29E3"/>
    <w:rsid w:val="00CB0664"/>
    <w:rsid w:val="00CB58E5"/>
    <w:rsid w:val="00D33139"/>
    <w:rsid w:val="00D3505C"/>
    <w:rsid w:val="00DB1CBF"/>
    <w:rsid w:val="00E21421"/>
    <w:rsid w:val="00E25AC2"/>
    <w:rsid w:val="00E4450F"/>
    <w:rsid w:val="00EA2222"/>
    <w:rsid w:val="00EE5A72"/>
    <w:rsid w:val="00F455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88864B"/>
  <w14:defaultImageDpi w14:val="300"/>
  <w15:docId w15:val="{C349131E-019C-4769-A28F-680077F6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05079"/>
    <w:pPr>
      <w:spacing w:before="100" w:beforeAutospacing="1" w:after="100" w:afterAutospacing="1" w:line="240" w:lineRule="auto"/>
    </w:pPr>
    <w:rPr>
      <w:rFonts w:ascii="Times New Roman" w:eastAsia="Times New Roman" w:hAnsi="Times New Roman" w:cs="Times New Roman"/>
      <w:sz w:val="24"/>
      <w:szCs w:val="24"/>
      <w:lang w:val="de-DE" w:eastAsia="ko-KR"/>
    </w:rPr>
  </w:style>
  <w:style w:type="paragraph" w:customStyle="1" w:styleId="Default">
    <w:name w:val="Default"/>
    <w:rsid w:val="001E671D"/>
    <w:pPr>
      <w:autoSpaceDE w:val="0"/>
      <w:autoSpaceDN w:val="0"/>
      <w:adjustRightInd w:val="0"/>
      <w:spacing w:after="0" w:line="240" w:lineRule="auto"/>
    </w:pPr>
    <w:rPr>
      <w:rFonts w:ascii="Arial" w:hAnsi="Arial" w:cs="Arial"/>
      <w:color w:val="000000"/>
      <w:sz w:val="24"/>
      <w:szCs w:val="24"/>
      <w:lang w:val="de-DE"/>
    </w:rPr>
  </w:style>
  <w:style w:type="character" w:styleId="Hyperlink">
    <w:name w:val="Hyperlink"/>
    <w:basedOn w:val="DefaultParagraphFont"/>
    <w:uiPriority w:val="99"/>
    <w:unhideWhenUsed/>
    <w:rsid w:val="00BE1B12"/>
    <w:rPr>
      <w:color w:val="0000FF" w:themeColor="hyperlink"/>
      <w:u w:val="single"/>
    </w:rPr>
  </w:style>
  <w:style w:type="character" w:customStyle="1" w:styleId="UnresolvedMention">
    <w:name w:val="Unresolved Mention"/>
    <w:basedOn w:val="DefaultParagraphFont"/>
    <w:uiPriority w:val="99"/>
    <w:semiHidden/>
    <w:unhideWhenUsed/>
    <w:rsid w:val="00BE1B12"/>
    <w:rPr>
      <w:color w:val="605E5C"/>
      <w:shd w:val="clear" w:color="auto" w:fill="E1DFDD"/>
    </w:rPr>
  </w:style>
  <w:style w:type="paragraph" w:styleId="TOC1">
    <w:name w:val="toc 1"/>
    <w:basedOn w:val="Normal"/>
    <w:next w:val="Normal"/>
    <w:autoRedefine/>
    <w:uiPriority w:val="39"/>
    <w:unhideWhenUsed/>
    <w:rsid w:val="00554678"/>
    <w:pPr>
      <w:tabs>
        <w:tab w:val="left" w:pos="440"/>
        <w:tab w:val="right" w:leader="dot" w:pos="8630"/>
      </w:tabs>
      <w:spacing w:after="10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77065">
      <w:bodyDiv w:val="1"/>
      <w:marLeft w:val="0"/>
      <w:marRight w:val="0"/>
      <w:marTop w:val="0"/>
      <w:marBottom w:val="0"/>
      <w:divBdr>
        <w:top w:val="none" w:sz="0" w:space="0" w:color="auto"/>
        <w:left w:val="none" w:sz="0" w:space="0" w:color="auto"/>
        <w:bottom w:val="none" w:sz="0" w:space="0" w:color="auto"/>
        <w:right w:val="none" w:sz="0" w:space="0" w:color="auto"/>
      </w:divBdr>
    </w:div>
    <w:div w:id="230578993">
      <w:bodyDiv w:val="1"/>
      <w:marLeft w:val="0"/>
      <w:marRight w:val="0"/>
      <w:marTop w:val="0"/>
      <w:marBottom w:val="0"/>
      <w:divBdr>
        <w:top w:val="none" w:sz="0" w:space="0" w:color="auto"/>
        <w:left w:val="none" w:sz="0" w:space="0" w:color="auto"/>
        <w:bottom w:val="none" w:sz="0" w:space="0" w:color="auto"/>
        <w:right w:val="none" w:sz="0" w:space="0" w:color="auto"/>
      </w:divBdr>
    </w:div>
    <w:div w:id="454373744">
      <w:bodyDiv w:val="1"/>
      <w:marLeft w:val="0"/>
      <w:marRight w:val="0"/>
      <w:marTop w:val="0"/>
      <w:marBottom w:val="0"/>
      <w:divBdr>
        <w:top w:val="none" w:sz="0" w:space="0" w:color="auto"/>
        <w:left w:val="none" w:sz="0" w:space="0" w:color="auto"/>
        <w:bottom w:val="none" w:sz="0" w:space="0" w:color="auto"/>
        <w:right w:val="none" w:sz="0" w:space="0" w:color="auto"/>
      </w:divBdr>
    </w:div>
    <w:div w:id="455563516">
      <w:bodyDiv w:val="1"/>
      <w:marLeft w:val="0"/>
      <w:marRight w:val="0"/>
      <w:marTop w:val="0"/>
      <w:marBottom w:val="0"/>
      <w:divBdr>
        <w:top w:val="none" w:sz="0" w:space="0" w:color="auto"/>
        <w:left w:val="none" w:sz="0" w:space="0" w:color="auto"/>
        <w:bottom w:val="none" w:sz="0" w:space="0" w:color="auto"/>
        <w:right w:val="none" w:sz="0" w:space="0" w:color="auto"/>
      </w:divBdr>
    </w:div>
    <w:div w:id="500588174">
      <w:bodyDiv w:val="1"/>
      <w:marLeft w:val="0"/>
      <w:marRight w:val="0"/>
      <w:marTop w:val="0"/>
      <w:marBottom w:val="0"/>
      <w:divBdr>
        <w:top w:val="none" w:sz="0" w:space="0" w:color="auto"/>
        <w:left w:val="none" w:sz="0" w:space="0" w:color="auto"/>
        <w:bottom w:val="none" w:sz="0" w:space="0" w:color="auto"/>
        <w:right w:val="none" w:sz="0" w:space="0" w:color="auto"/>
      </w:divBdr>
    </w:div>
    <w:div w:id="531571434">
      <w:bodyDiv w:val="1"/>
      <w:marLeft w:val="0"/>
      <w:marRight w:val="0"/>
      <w:marTop w:val="0"/>
      <w:marBottom w:val="0"/>
      <w:divBdr>
        <w:top w:val="none" w:sz="0" w:space="0" w:color="auto"/>
        <w:left w:val="none" w:sz="0" w:space="0" w:color="auto"/>
        <w:bottom w:val="none" w:sz="0" w:space="0" w:color="auto"/>
        <w:right w:val="none" w:sz="0" w:space="0" w:color="auto"/>
      </w:divBdr>
    </w:div>
    <w:div w:id="1181823496">
      <w:bodyDiv w:val="1"/>
      <w:marLeft w:val="0"/>
      <w:marRight w:val="0"/>
      <w:marTop w:val="0"/>
      <w:marBottom w:val="0"/>
      <w:divBdr>
        <w:top w:val="none" w:sz="0" w:space="0" w:color="auto"/>
        <w:left w:val="none" w:sz="0" w:space="0" w:color="auto"/>
        <w:bottom w:val="none" w:sz="0" w:space="0" w:color="auto"/>
        <w:right w:val="none" w:sz="0" w:space="0" w:color="auto"/>
      </w:divBdr>
    </w:div>
    <w:div w:id="1302341418">
      <w:bodyDiv w:val="1"/>
      <w:marLeft w:val="0"/>
      <w:marRight w:val="0"/>
      <w:marTop w:val="0"/>
      <w:marBottom w:val="0"/>
      <w:divBdr>
        <w:top w:val="none" w:sz="0" w:space="0" w:color="auto"/>
        <w:left w:val="none" w:sz="0" w:space="0" w:color="auto"/>
        <w:bottom w:val="none" w:sz="0" w:space="0" w:color="auto"/>
        <w:right w:val="none" w:sz="0" w:space="0" w:color="auto"/>
      </w:divBdr>
    </w:div>
    <w:div w:id="1351566034">
      <w:bodyDiv w:val="1"/>
      <w:marLeft w:val="0"/>
      <w:marRight w:val="0"/>
      <w:marTop w:val="0"/>
      <w:marBottom w:val="0"/>
      <w:divBdr>
        <w:top w:val="none" w:sz="0" w:space="0" w:color="auto"/>
        <w:left w:val="none" w:sz="0" w:space="0" w:color="auto"/>
        <w:bottom w:val="none" w:sz="0" w:space="0" w:color="auto"/>
        <w:right w:val="none" w:sz="0" w:space="0" w:color="auto"/>
      </w:divBdr>
    </w:div>
    <w:div w:id="1521044307">
      <w:bodyDiv w:val="1"/>
      <w:marLeft w:val="0"/>
      <w:marRight w:val="0"/>
      <w:marTop w:val="0"/>
      <w:marBottom w:val="0"/>
      <w:divBdr>
        <w:top w:val="none" w:sz="0" w:space="0" w:color="auto"/>
        <w:left w:val="none" w:sz="0" w:space="0" w:color="auto"/>
        <w:bottom w:val="none" w:sz="0" w:space="0" w:color="auto"/>
        <w:right w:val="none" w:sz="0" w:space="0" w:color="auto"/>
      </w:divBdr>
    </w:div>
    <w:div w:id="1670257064">
      <w:bodyDiv w:val="1"/>
      <w:marLeft w:val="0"/>
      <w:marRight w:val="0"/>
      <w:marTop w:val="0"/>
      <w:marBottom w:val="0"/>
      <w:divBdr>
        <w:top w:val="none" w:sz="0" w:space="0" w:color="auto"/>
        <w:left w:val="none" w:sz="0" w:space="0" w:color="auto"/>
        <w:bottom w:val="none" w:sz="0" w:space="0" w:color="auto"/>
        <w:right w:val="none" w:sz="0" w:space="0" w:color="auto"/>
      </w:divBdr>
    </w:div>
    <w:div w:id="1768424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reports" TargetMode="External"/><Relationship Id="rId13" Type="http://schemas.openxmlformats.org/officeDocument/2006/relationships/hyperlink" Target="https://www.npc.gov.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ser\Downloads\ten_year_plan_popular_versio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c.gov.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ocit.gov.et" TargetMode="External"/><Relationship Id="rId4" Type="http://schemas.openxmlformats.org/officeDocument/2006/relationships/settings" Target="settings.xml"/><Relationship Id="rId9" Type="http://schemas.openxmlformats.org/officeDocument/2006/relationships/hyperlink" Target="https://www.moe.gov.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F6DCD-5E68-45F9-9719-23901C6C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1366</Words>
  <Characters>7792</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9140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Anbes Tenaye</dc:creator>
  <cp:keywords/>
  <dc:description>generated by python-docx</dc:description>
  <cp:lastModifiedBy>user</cp:lastModifiedBy>
  <cp:revision>3</cp:revision>
  <dcterms:created xsi:type="dcterms:W3CDTF">2025-06-13T06:56:00Z</dcterms:created>
  <dcterms:modified xsi:type="dcterms:W3CDTF">2025-06-13T07:11:00Z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1f728ed9-3953-4535-a38d-ace48d199259</vt:lpwstr>
  </property>
</Properties>
</file>